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Quarterly Report</w:t>
      </w:r>
    </w:p>
    <w:p>
      <w:pPr>
        <w:jc w:val="center"/>
      </w:pPr>
      <w:r>
        <w:rPr>
          <w:color w:val="C00000"/>
          <w:sz w:val="28"/>
        </w:rPr>
        <w:t>Centered red text</w:t>
      </w:r>
    </w:p>
    <w:p>
      <w:pPr>
        <w:pStyle w:val="ListBullet"/>
      </w:pPr>
      <w:r>
        <w:t>Bullet one</w:t>
      </w:r>
    </w:p>
    <w:p>
      <w:pPr>
        <w:pStyle w:val="ListBullet"/>
      </w:pPr>
      <w:r>
        <w:t>Bullet two</w:t>
      </w:r>
    </w:p>
    <w:p>
      <w:pPr>
        <w:pStyle w:val="ListNumber"/>
      </w:pPr>
      <w:r>
        <w:t>Number one</w:t>
      </w:r>
    </w:p>
    <w:p>
      <w:pPr>
        <w:pStyle w:val="ListNumber"/>
      </w:pPr>
      <w:r>
        <w:t>Number two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R0C0</w:t>
            </w:r>
          </w:p>
        </w:tc>
        <w:tc>
          <w:tcPr>
            <w:tcW w:type="dxa" w:w="2880"/>
          </w:tcPr>
          <w:p>
            <w:r>
              <w:t>R0C1</w:t>
            </w:r>
          </w:p>
        </w:tc>
        <w:tc>
          <w:tcPr>
            <w:tcW w:type="dxa" w:w="2880"/>
          </w:tcPr>
          <w:p>
            <w:r>
              <w:t>R0C2</w:t>
            </w:r>
          </w:p>
        </w:tc>
      </w:tr>
      <w:tr>
        <w:tc>
          <w:tcPr>
            <w:tcW w:type="dxa" w:w="2880"/>
          </w:tcPr>
          <w:p>
            <w:r>
              <w:t>R1C0</w:t>
            </w:r>
          </w:p>
        </w:tc>
        <w:tc>
          <w:tcPr>
            <w:tcW w:type="dxa" w:w="2880"/>
          </w:tcPr>
          <w:p>
            <w:r>
              <w:t>R1C1</w:t>
            </w:r>
          </w:p>
        </w:tc>
        <w:tc>
          <w:tcPr>
            <w:tcW w:type="dxa" w:w="2880"/>
          </w:tcPr>
          <w:p>
            <w:r>
              <w:t>R1C2</w:t>
            </w:r>
          </w:p>
        </w:tc>
      </w:tr>
      <w:tr>
        <w:tc>
          <w:tcPr>
            <w:tcW w:type="dxa" w:w="2880"/>
          </w:tcPr>
          <w:p>
            <w:r>
              <w:t>R2C0</w:t>
            </w:r>
          </w:p>
        </w:tc>
        <w:tc>
          <w:tcPr>
            <w:tcW w:type="dxa" w:w="2880"/>
          </w:tcPr>
          <w:p>
            <w:r>
              <w:t>R2C1</w:t>
            </w:r>
          </w:p>
        </w:tc>
        <w:tc>
          <w:tcPr>
            <w:tcW w:type="dxa" w:w="2880"/>
          </w:tcPr>
          <w:p>
            <w:r>
              <w:t>R2C2</w:t>
            </w:r>
          </w:p>
        </w:tc>
      </w:tr>
    </w:tbl>
    <w:p>
      <w:r>
        <w:br w:type="page"/>
      </w:r>
    </w:p>
    <w:p>
      <w:pPr>
        <w:pStyle w:val="Heading1"/>
      </w:pPr>
      <w:r>
        <w:t>Second Page</w:t>
      </w:r>
    </w:p>
    <w:p>
      <w:r>
        <w:t>Tab</w:t>
        <w:tab/>
        <w:t>separated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mp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Confidential Footer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Quarterly Report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