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2"/>
        </w:rPr>
        <w:t>DX699 AI for Leaders</w:t>
        <w:br/>
        <w:t>Capstone Milestone One:</w:t>
        <w:br/>
        <w:t>Identifying a Problem and Relevant Datasets</w:t>
      </w:r>
    </w:p>
    <w:p>
      <w:pPr>
        <w:jc w:val="center"/>
      </w:pPr>
      <w:r>
        <w:t>Ka Tsun Hui</w:t>
        <w:br/>
        <w:t>October 2026</w:t>
      </w:r>
    </w:p>
    <w:p>
      <w:r>
        <w:br w:type="page"/>
      </w:r>
    </w:p>
    <w:p>
      <w:pPr>
        <w:jc w:val="center"/>
      </w:pPr>
      <w:r>
        <w:rPr>
          <w:b/>
          <w:sz w:val="24"/>
        </w:rPr>
        <w:t>1. Description or summary of the nature and content of each dataset</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Pr>
          <w:p>
            <w:r>
              <w:rPr>
                <w:sz w:val="24"/>
              </w:rPr>
            </w:r>
            <w:r>
              <w:rPr>
                <w:b/>
                <w:sz w:val="24"/>
              </w:rPr>
              <w:t>Dataset</w:t>
            </w:r>
          </w:p>
        </w:tc>
        <w:tc>
          <w:tcPr>
            <w:tcW w:type="dxa" w:w="1872"/>
          </w:tcPr>
          <w:p>
            <w:r>
              <w:rPr>
                <w:sz w:val="24"/>
              </w:rPr>
            </w:r>
            <w:r>
              <w:rPr>
                <w:b/>
                <w:sz w:val="24"/>
              </w:rPr>
              <w:t>Size</w:t>
            </w:r>
          </w:p>
        </w:tc>
        <w:tc>
          <w:tcPr>
            <w:tcW w:type="dxa" w:w="1872"/>
          </w:tcPr>
          <w:p>
            <w:r>
              <w:rPr>
                <w:sz w:val="24"/>
              </w:rPr>
            </w:r>
            <w:r>
              <w:rPr>
                <w:b/>
                <w:sz w:val="24"/>
              </w:rPr>
              <w:t>Source</w:t>
            </w:r>
          </w:p>
        </w:tc>
        <w:tc>
          <w:tcPr>
            <w:tcW w:type="dxa" w:w="1872"/>
          </w:tcPr>
          <w:p>
            <w:r>
              <w:rPr>
                <w:sz w:val="24"/>
              </w:rPr>
            </w:r>
            <w:r>
              <w:rPr>
                <w:b/>
                <w:sz w:val="24"/>
              </w:rPr>
              <w:t>Industry</w:t>
            </w:r>
          </w:p>
        </w:tc>
        <w:tc>
          <w:tcPr>
            <w:tcW w:type="dxa" w:w="1872"/>
          </w:tcPr>
          <w:p>
            <w:r>
              <w:rPr>
                <w:sz w:val="24"/>
              </w:rPr>
            </w:r>
            <w:r>
              <w:rPr>
                <w:b/>
                <w:sz w:val="24"/>
              </w:rPr>
              <w:t>Unit of observation</w:t>
            </w:r>
          </w:p>
        </w:tc>
      </w:tr>
      <w:tr>
        <w:tc>
          <w:tcPr>
            <w:tcW w:type="dxa" w:w="1872"/>
          </w:tcPr>
          <w:p>
            <w:r>
              <w:rPr>
                <w:sz w:val="24"/>
              </w:rPr>
            </w:r>
            <w:r>
              <w:rPr>
                <w:sz w:val="24"/>
              </w:rPr>
              <w:t>1. SPY options snapshot</w:t>
            </w:r>
          </w:p>
        </w:tc>
        <w:tc>
          <w:tcPr>
            <w:tcW w:type="dxa" w:w="1872"/>
          </w:tcPr>
          <w:p>
            <w:r>
              <w:rPr>
                <w:sz w:val="24"/>
              </w:rPr>
            </w:r>
            <w:r>
              <w:rPr>
                <w:sz w:val="24"/>
              </w:rPr>
              <w:t>9,646 x 23</w:t>
            </w:r>
          </w:p>
        </w:tc>
        <w:tc>
          <w:tcPr>
            <w:tcW w:type="dxa" w:w="1872"/>
          </w:tcPr>
          <w:p>
            <w:r>
              <w:rPr>
                <w:sz w:val="24"/>
              </w:rPr>
            </w:r>
            <w:hyperlink r:id="rId9" w:history="1">
              <w:r>
                <w:rPr>
                  <w:rStyle w:val="Hyperlink"/>
                  <w:sz w:val="24"/>
                  <w:color w:val="0563C1"/>
                  <w:u w:val="single"/>
                </w:rPr>
                <w:t>Historic Options Dataset (Dubach, 2025)</w:t>
              </w:r>
            </w:hyperlink>
          </w:p>
        </w:tc>
        <w:tc>
          <w:tcPr>
            <w:tcW w:type="dxa" w:w="1872"/>
          </w:tcPr>
          <w:p>
            <w:r>
              <w:rPr>
                <w:sz w:val="24"/>
              </w:rPr>
            </w:r>
            <w:r>
              <w:rPr>
                <w:sz w:val="24"/>
              </w:rPr>
              <w:t>Finance</w:t>
            </w:r>
          </w:p>
        </w:tc>
        <w:tc>
          <w:tcPr>
            <w:tcW w:type="dxa" w:w="1872"/>
          </w:tcPr>
          <w:p>
            <w:r>
              <w:rPr>
                <w:sz w:val="24"/>
              </w:rPr>
            </w:r>
            <w:r>
              <w:rPr>
                <w:sz w:val="24"/>
              </w:rPr>
              <w:t>One listed option contract, Dec 31, 2024</w:t>
            </w:r>
          </w:p>
        </w:tc>
      </w:tr>
      <w:tr>
        <w:tc>
          <w:tcPr>
            <w:tcW w:type="dxa" w:w="1872"/>
          </w:tcPr>
          <w:p>
            <w:r>
              <w:rPr>
                <w:sz w:val="24"/>
              </w:rPr>
            </w:r>
            <w:r>
              <w:rPr>
                <w:sz w:val="24"/>
              </w:rPr>
              <w:t>2. China EV sales</w:t>
            </w:r>
          </w:p>
        </w:tc>
        <w:tc>
          <w:tcPr>
            <w:tcW w:type="dxa" w:w="1872"/>
          </w:tcPr>
          <w:p>
            <w:r>
              <w:rPr>
                <w:sz w:val="24"/>
              </w:rPr>
            </w:r>
            <w:r>
              <w:rPr>
                <w:sz w:val="24"/>
              </w:rPr>
              <w:t>38,806 x 10</w:t>
            </w:r>
          </w:p>
        </w:tc>
        <w:tc>
          <w:tcPr>
            <w:tcW w:type="dxa" w:w="1872"/>
          </w:tcPr>
          <w:p>
            <w:r>
              <w:rPr>
                <w:sz w:val="24"/>
              </w:rPr>
            </w:r>
            <w:hyperlink r:id="rId10" w:history="1">
              <w:r>
                <w:rPr>
                  <w:rStyle w:val="Hyperlink"/>
                  <w:sz w:val="24"/>
                  <w:color w:val="0563C1"/>
                  <w:u w:val="single"/>
                </w:rPr>
                <w:t>CPCA via Kaggle (felixzhao)</w:t>
              </w:r>
            </w:hyperlink>
          </w:p>
        </w:tc>
        <w:tc>
          <w:tcPr>
            <w:tcW w:type="dxa" w:w="1872"/>
          </w:tcPr>
          <w:p>
            <w:r>
              <w:rPr>
                <w:sz w:val="24"/>
              </w:rPr>
            </w:r>
            <w:r>
              <w:rPr>
                <w:sz w:val="24"/>
              </w:rPr>
              <w:t>Environment</w:t>
            </w:r>
          </w:p>
        </w:tc>
        <w:tc>
          <w:tcPr>
            <w:tcW w:type="dxa" w:w="1872"/>
          </w:tcPr>
          <w:p>
            <w:r>
              <w:rPr>
                <w:sz w:val="24"/>
              </w:rPr>
            </w:r>
            <w:r>
              <w:rPr>
                <w:sz w:val="24"/>
              </w:rPr>
              <w:t>One vehicle model in one month, Jan 2018-Apr 2024</w:t>
            </w:r>
          </w:p>
        </w:tc>
      </w:tr>
      <w:tr>
        <w:tc>
          <w:tcPr>
            <w:tcW w:type="dxa" w:w="1872"/>
          </w:tcPr>
          <w:p>
            <w:r>
              <w:rPr>
                <w:sz w:val="24"/>
              </w:rPr>
            </w:r>
            <w:r>
              <w:rPr>
                <w:sz w:val="24"/>
              </w:rPr>
              <w:t>3. Spotify tracks</w:t>
            </w:r>
          </w:p>
        </w:tc>
        <w:tc>
          <w:tcPr>
            <w:tcW w:type="dxa" w:w="1872"/>
          </w:tcPr>
          <w:p>
            <w:r>
              <w:rPr>
                <w:sz w:val="24"/>
              </w:rPr>
            </w:r>
            <w:r>
              <w:rPr>
                <w:sz w:val="24"/>
              </w:rPr>
              <w:t>114,000 x 20</w:t>
            </w:r>
          </w:p>
        </w:tc>
        <w:tc>
          <w:tcPr>
            <w:tcW w:type="dxa" w:w="1872"/>
          </w:tcPr>
          <w:p>
            <w:r>
              <w:rPr>
                <w:sz w:val="24"/>
              </w:rPr>
            </w:r>
            <w:hyperlink r:id="rId11" w:history="1">
              <w:r>
                <w:rPr>
                  <w:rStyle w:val="Hyperlink"/>
                  <w:sz w:val="24"/>
                  <w:color w:val="0563C1"/>
                  <w:u w:val="single"/>
                </w:rPr>
                <w:t>Ultimate Spotify Tracks DB</w:t>
              </w:r>
            </w:hyperlink>
          </w:p>
        </w:tc>
        <w:tc>
          <w:tcPr>
            <w:tcW w:type="dxa" w:w="1872"/>
          </w:tcPr>
          <w:p>
            <w:r>
              <w:rPr>
                <w:sz w:val="24"/>
              </w:rPr>
            </w:r>
            <w:r>
              <w:rPr>
                <w:sz w:val="24"/>
              </w:rPr>
              <w:t>Entertainment</w:t>
            </w:r>
          </w:p>
        </w:tc>
        <w:tc>
          <w:tcPr>
            <w:tcW w:type="dxa" w:w="1872"/>
          </w:tcPr>
          <w:p>
            <w:r>
              <w:rPr>
                <w:sz w:val="24"/>
              </w:rPr>
            </w:r>
            <w:r>
              <w:rPr>
                <w:sz w:val="24"/>
              </w:rPr>
              <w:t>One track (audio features + genre)</w:t>
            </w:r>
          </w:p>
        </w:tc>
      </w:tr>
      <w:tr>
        <w:tc>
          <w:tcPr>
            <w:tcW w:type="dxa" w:w="1872"/>
          </w:tcPr>
          <w:p>
            <w:r>
              <w:rPr>
                <w:sz w:val="24"/>
              </w:rPr>
            </w:r>
            <w:r>
              <w:rPr>
                <w:sz w:val="24"/>
              </w:rPr>
              <w:t>4. TMDB movies</w:t>
            </w:r>
          </w:p>
        </w:tc>
        <w:tc>
          <w:tcPr>
            <w:tcW w:type="dxa" w:w="1872"/>
          </w:tcPr>
          <w:p>
            <w:r>
              <w:rPr>
                <w:sz w:val="24"/>
              </w:rPr>
            </w:r>
            <w:r>
              <w:rPr>
                <w:sz w:val="24"/>
              </w:rPr>
              <w:t>45,466 x 24</w:t>
            </w:r>
          </w:p>
        </w:tc>
        <w:tc>
          <w:tcPr>
            <w:tcW w:type="dxa" w:w="1872"/>
          </w:tcPr>
          <w:p>
            <w:r>
              <w:rPr>
                <w:sz w:val="24"/>
              </w:rPr>
            </w:r>
            <w:hyperlink r:id="rId12" w:history="1">
              <w:r>
                <w:rPr>
                  <w:rStyle w:val="Hyperlink"/>
                  <w:sz w:val="24"/>
                  <w:color w:val="0563C1"/>
                  <w:u w:val="single"/>
                </w:rPr>
                <w:t>The Movies Dataset</w:t>
              </w:r>
            </w:hyperlink>
          </w:p>
        </w:tc>
        <w:tc>
          <w:tcPr>
            <w:tcW w:type="dxa" w:w="1872"/>
          </w:tcPr>
          <w:p>
            <w:r>
              <w:rPr>
                <w:sz w:val="24"/>
              </w:rPr>
            </w:r>
            <w:r>
              <w:rPr>
                <w:sz w:val="24"/>
              </w:rPr>
              <w:t>Entertainment</w:t>
            </w:r>
          </w:p>
        </w:tc>
        <w:tc>
          <w:tcPr>
            <w:tcW w:type="dxa" w:w="1872"/>
          </w:tcPr>
          <w:p>
            <w:r>
              <w:rPr>
                <w:sz w:val="24"/>
              </w:rPr>
            </w:r>
            <w:r>
              <w:rPr>
                <w:sz w:val="24"/>
              </w:rPr>
              <w:t>One film (budget, revenue, ratings)</w:t>
            </w:r>
          </w:p>
        </w:tc>
      </w:tr>
      <w:tr>
        <w:tc>
          <w:tcPr>
            <w:tcW w:type="dxa" w:w="1872"/>
          </w:tcPr>
          <w:p>
            <w:r>
              <w:rPr>
                <w:sz w:val="24"/>
              </w:rPr>
            </w:r>
            <w:r>
              <w:rPr>
                <w:sz w:val="24"/>
              </w:rPr>
              <w:t>5. FINRA short interest, S&amp;P 500</w:t>
            </w:r>
          </w:p>
        </w:tc>
        <w:tc>
          <w:tcPr>
            <w:tcW w:type="dxa" w:w="1872"/>
          </w:tcPr>
          <w:p>
            <w:r>
              <w:rPr>
                <w:sz w:val="24"/>
              </w:rPr>
            </w:r>
            <w:r>
              <w:rPr>
                <w:sz w:val="24"/>
              </w:rPr>
              <w:t>43,899 x 12</w:t>
            </w:r>
          </w:p>
        </w:tc>
        <w:tc>
          <w:tcPr>
            <w:tcW w:type="dxa" w:w="1872"/>
          </w:tcPr>
          <w:p>
            <w:r>
              <w:rPr>
                <w:sz w:val="24"/>
              </w:rPr>
            </w:r>
            <w:hyperlink r:id="rId13" w:history="1">
              <w:r>
                <w:rPr>
                  <w:rStyle w:val="Hyperlink"/>
                  <w:sz w:val="24"/>
                  <w:color w:val="0563C1"/>
                  <w:u w:val="single"/>
                </w:rPr>
                <w:t>FINRA Equity Short Interest</w:t>
              </w:r>
            </w:hyperlink>
          </w:p>
        </w:tc>
        <w:tc>
          <w:tcPr>
            <w:tcW w:type="dxa" w:w="1872"/>
          </w:tcPr>
          <w:p>
            <w:r>
              <w:rPr>
                <w:sz w:val="24"/>
              </w:rPr>
            </w:r>
            <w:r>
              <w:rPr>
                <w:sz w:val="24"/>
              </w:rPr>
              <w:t>Finance</w:t>
            </w:r>
          </w:p>
        </w:tc>
        <w:tc>
          <w:tcPr>
            <w:tcW w:type="dxa" w:w="1872"/>
          </w:tcPr>
          <w:p>
            <w:r>
              <w:rPr>
                <w:sz w:val="24"/>
              </w:rPr>
            </w:r>
            <w:r>
              <w:rPr>
                <w:sz w:val="24"/>
              </w:rPr>
              <w:t>One stock at one settlement date, Jan 2023-Sep 2026</w:t>
            </w:r>
          </w:p>
        </w:tc>
      </w:tr>
    </w:tbl>
    <w:p>
      <w:pPr>
        <w:jc w:val="center"/>
      </w:pPr>
      <w:r>
        <w:rPr>
          <w:i/>
        </w:rPr>
        <w:t>Table 1. The five datasets: size, source, industry, and unit of observation.</w:t>
      </w:r>
    </w:p>
    <w:p>
      <w:r>
        <w:rPr>
          <w:b/>
          <w:sz w:val="24"/>
        </w:rPr>
        <w:t>Dataset 1: SPY Equity Options Chain Snapshot (Finance)</w:t>
      </w:r>
    </w:p>
    <w:p>
      <w:r>
        <w:t>A single-day cross-section of the SPY options chain on December 31, 2024 (spot 586.08), hand-extracted from a public historic U.S. equity options dataset (Dubach, 2025): 9,646 contracts (4,823 calls, 4,823 puts) across 35 expirations and 362 strikes in 23 columns, covering contract identifiers (strike, call/put, expiration), market observables (bid, ask, last, sizes, volume, open interest), and model-derived outputs (implied volatility, delta, gamma, theta, vega, rho, moneyness, in-the-money flag). Mixed types: continuous numerics, categoricals, one binary flag. Cross-sectional, not a time series.</w:t>
      </w:r>
    </w:p>
    <w:p>
      <w:r>
        <w:rPr>
          <w:b/>
          <w:sz w:val="24"/>
        </w:rPr>
        <w:t>Dataset 2: China Passenger-Vehicle Sales, CPCA (Environment)</w:t>
      </w:r>
    </w:p>
    <w:p>
      <w:r>
        <w:t>Monthly registration records for China’s passenger-car market, January 2018–April 2024, from the China Passenger Car Association (CPCA, 2024): 38,806 model-month rows, 10 columns (year-month, make, brand, model, brand country, units sold, EV-versus-gasoline flag, body type, low/high price). Covers 139 brands and 1,345 brand-model combinations (136.9M units); 8,528 EV rows vs 30,278 gasoline, EV unit share 3.3% (2018) → 30.2% (2023). Framed cross-sectionally, as a portrait of the electrification transition.</w:t>
      </w:r>
    </w:p>
    <w:p>
      <w:r>
        <w:rPr>
          <w:b/>
          <w:sz w:val="24"/>
        </w:rPr>
        <w:t>Dataset 3: Spotify Track Features (Entertainment)</w:t>
      </w:r>
    </w:p>
    <w:p>
      <w:r/>
      <w:r>
        <w:rPr>
          <w:sz w:val="24"/>
        </w:rPr>
        <w:t>114,000 tracks × 20 columns from the Ultimate Spotify Tracks DB (Hamidani, n.d.): identifiers, a popularity score, and Spotify-computed audio features (danceability, energy, loudness, speechiness, acousticness, instrumentalness, liveness, valence, tempo, key, mode, time signature, duration, explicit flag) plus a genre label. Artificially balanced at 114 genres × 1,000 tracks.</w:t>
      </w:r>
    </w:p>
    <w:p>
      <w:r>
        <w:rPr>
          <w:b/>
          <w:sz w:val="24"/>
        </w:rPr>
        <w:t>Dataset 4: TMDB Movie Metadata (Entertainment)</w:t>
      </w:r>
    </w:p>
    <w:p>
      <w:r/>
      <w:r>
        <w:rPr>
          <w:sz w:val="24"/>
        </w:rPr>
        <w:t>45,466 films × 24 columns from The Movies Dataset (Banik, 2017): budget, revenue, runtime, release date, vote average/count, popularity, language, overview text, tagline, and nested-JSON columns (genres, companies, countries, cast, crew) requiring parsing. The paper’s widest mix of data types: numerics, dates, free text, and structured JSON in one table.</w:t>
      </w:r>
    </w:p>
    <w:p>
      <w:r/>
      <w:r>
        <w:rPr>
          <w:b/>
          <w:sz w:val="24"/>
        </w:rPr>
        <w:t>Dataset 5: FINRA Equity Short Interest, S&amp;P 500 (Finance)</w:t>
      </w:r>
    </w:p>
    <w:p>
      <w:r/>
      <w:r>
        <w:rPr>
          <w:sz w:val="24"/>
        </w:rPr>
        <w:t>The Financial Industry Regulatory Authority’s (FINRA, 2026) official equity short-interest reports for 496 S&amp;P 500 constituents on 90 settlement dates (twice monthly), January 2023–September 2026, used on their own with no price or market-cap data attached: 43,899 stock-report rows × 12 columns (settlement date, symbol, issuer name, exchange, current and previous short shares, change in shares and in percent, average daily volume, days-to-cover, and FINRA’s stock-split and revision flags). Counts are highly skewed (short shares range from 2,064 to 324 million; median days-to-cover 2.8, maximum 20.5). Cross-sectional framing, built on volume: which stocks are heavily shorted, and does that depend on how much they trade? Days-to-cover is short shares divided by average daily volume (within 2% on 98.5% of rows), while the raw share count mostly tracks volume (log correlation 0.95 across stocks). The file has no price, shares outstanding, or market cap, so average daily volume is the only size-like column and is used as a liquidity proxy; all 496 stocks are S&amp;P 500 members, so the comparison is between higher- and lower-volume large and mid caps, not true small caps. </w:t>
      </w:r>
    </w:p>
    <w:p>
      <w:pPr>
        <w:jc w:val="center"/>
      </w:pPr>
      <w:r>
        <w:rPr>
          <w:b/>
          <w:sz w:val="24"/>
        </w:rPr>
        <w:t>2. Explanation of missing, incorrect, or duplicated data</w:t>
      </w:r>
    </w:p>
    <w:p>
      <w:r>
        <w:rPr>
          <w:b/>
          <w:sz w:val="24"/>
        </w:rPr>
        <w:t>Dataset 1: SPY Equity Options Chain Snapshot</w:t>
      </w:r>
    </w:p>
    <w:p>
      <w:r>
        <w:t>No missing values. The problem is 625 zero-bid contracts (6.5%), typically deep out-of-the-money long-dated puts quoted 0.00 bid against a wide ask with no volume. These dead quotes cannot be traded; any model trained on them learns from prices that do not exist, so they are discarded outright. A further ~200 ultra-wide-spread contracts (spreads above 50%) are filtered the same way, and implied volatility (range 0.015–4.034, extremes in illiquid names) is winsorized. Volume concentrates in zero-days-to-expiry and weeklies, so analysis is stratified by expiration; mid-prices replace last trades to avoid bid-ask bounce; the Greeks are model-derived features carrying model risk, not ground truth.</w:t>
      </w:r>
    </w:p>
    <w:p>
      <w:r>
        <w:rPr>
          <w:b/>
          <w:sz w:val="24"/>
        </w:rPr>
        <w:t>Dataset 2: China Passenger-Vehicle Sales, CPCA</w:t>
      </w:r>
    </w:p>
    <w:p>
      <w:r>
        <w:t>Thirty-four exact duplicate (model, year-month) rows are dropped. Body type is the literal string “NA” in 2,366 rows (6.1%), kept as an “Unknown” category since missingness may correlate with low-volume models. In 6,127 rows (15.8%) the price is 0, dead data that is imputed within brand-model or excluded from price features. The manufacturer field is Chinese while brand is English, so modeling uses brand. February 2020 EV sales collapsed to 8,988 units (COVID lockdown) and the series ends April 2024; structural breaks are handled with regime dummies, never silent deletions.</w:t>
      </w:r>
    </w:p>
    <w:p>
      <w:r>
        <w:rPr>
          <w:b/>
          <w:sz w:val="24"/>
        </w:rPr>
        <w:t>Dataset 3: Spotify Track Features</w:t>
      </w:r>
    </w:p>
    <w:p>
      <w:r>
        <w:t>450 fully duplicated rows are removed. Subtler: 24,259 track ids repeat because the same song is listed under multiple genres, with identical audio features but different labels, i.e., label noise. Fix: deduplicate to one row per track (most frequent genre) or frame genre as multi-label. The artificial 1,000-tracks-per-genre balance does not reflect listening shares, so prevalence conclusions must be reweighted.</w:t>
      </w:r>
    </w:p>
    <w:p>
      <w:r>
        <w:rPr>
          <w:b/>
          <w:sz w:val="24"/>
        </w:rPr>
        <w:t>Dataset 4: TMDB Movie Metadata</w:t>
      </w:r>
    </w:p>
    <w:p>
      <w:r>
        <w:t>Seventeen duplicate rows dropped. Many budgets are 0, which is missing data coded as zero; these are recoded as missing and imputed within genre-era cohorts or excluded. Genres, companies, countries, cast, and crew are nested JSON parsed into indicators/counts. Vote averages on few-vote films are shrunk toward the global mean.</w:t>
      </w:r>
    </w:p>
    <w:p>
      <w:r/>
      <w:r>
        <w:rPr>
          <w:b/>
          <w:sz w:val="24"/>
        </w:rPr>
        <w:t>Dataset 5: FINRA Equity Short Interest, S&amp;P 500</w:t>
      </w:r>
    </w:p>
    <w:p>
      <w:r/>
      <w:r>
        <w:rPr>
          <w:sz w:val="24"/>
        </w:rPr>
        <w:t>No duplicate rows or duplicate stock-date keys, and no blanks in the FINRA fields (the two flag columns are blank unless FINRA applied the flag), but the data is not clean. Coverage is uneven: 20 of 496 tickers have fewer than 90 reports (741 missing stock-date cells, 1.7%). Percent change breaks at the extremes: 101 rows jump over 100% and 17 over 500%. FINRA’s split flag marks 27 of the 101, another 11 follow a prior position under 10,000 shares (first reports after spin-offs such as Veralto, Solventum, and Sandisk), and the other 63 are mostly moves of 100–240% that may be genuine; six new listings with prior short interest of 0 are coded as 100%. These are flagged and log-transformed, never silently deleted. The ticker BNY is a BlackRock municipal fund through January 2026 and Bank of New York Mellon afterward, so the 74 fund rows are dropped. Days-to-cover is floored at 1.00 (790 rows after that, 499 of them in the highest-volume quarter of stocks), and 397 rows (0.9%) carry FINRA’s revision flag, so a later pull can differ. Reports lag settlement by about a week: a historical record, not a live signal.</w:t>
      </w:r>
    </w:p>
    <w:p>
      <w:pPr>
        <w:jc w:val="center"/>
      </w:pPr>
      <w:r>
        <w:rPr>
          <w:b/>
          <w:sz w:val="24"/>
        </w:rPr>
        <w:t>3. Evaluation and explanation of how and why each dataset is suitable for each of several machine learning methods</w:t>
      </w:r>
    </w:p>
    <w:p>
      <w:r>
        <w:rPr>
          <w:b/>
          <w:sz w:val="24"/>
        </w:rPr>
        <w:t>Dataset 1: SPY Equity Options Chain Snapshot</w:t>
      </w:r>
    </w:p>
    <w:p>
      <w:r>
        <w:t>Supervised regression: predict implied volatility from strike, moneyness, and time to expiry; each contract carries the quoted IV as target. The smile’s nonlinearity suits tree ensembles or neural networks; a polynomial alternative tests the smile directly through its quadratic moneyness term. Classification: liquid vs illiquid from spread, volume, open interest, and distance from spot, a market-microstructure task modeling which contracts are tradable. Trees fit the regression because the smile is smooth but non-quadratic; the classifier fits because liquidity is a threshold phenomenon in spread and volume.</w:t>
      </w:r>
    </w:p>
    <w:p>
      <w:r>
        <w:rPr>
          <w:b/>
          <w:sz w:val="24"/>
        </w:rPr>
        <w:t>Dataset 2: China Passenger-Vehicle Sales, CPCA</w:t>
      </w:r>
    </w:p>
    <w:p>
      <w:r>
        <w:t>Classification: predict the EV-versus-gasoline flag from brand, brand country, body type, and price band. Every model-month carries the label; tree ensembles suit the mixed features, and the exercise measures how predictable the transition was. Regression: predict monthly EV units from lagged sales and segment mix with expanding-window splits (no leakage); comparing a seasonal baseline to gradient boosting across the series’ three structural phases shows which model holds up. Expanding windows respect temporal order; trees handle the categorical-heavy features without one-hot explosions.</w:t>
      </w:r>
    </w:p>
    <w:p>
      <w:r>
        <w:rPr>
          <w:b/>
          <w:sz w:val="24"/>
        </w:rPr>
        <w:t>Dataset 3: Spotify Track Features</w:t>
      </w:r>
    </w:p>
    <w:p>
      <w:r>
        <w:t>Classification: predict popularity tier (or genre, post-dedupe) from audio features, to see which sonic attributes the market rewards. Clustering: group tracks into data-derived archetypes (e.g., high-energy/low-acousticness) for playlist and recommendation design, where the problem is matching songs to moods, not predicting one number. The audio features are dense and continuous, which suits clustering.</w:t>
      </w:r>
    </w:p>
    <w:p>
      <w:r>
        <w:rPr>
          <w:b/>
          <w:sz w:val="24"/>
        </w:rPr>
        <w:t>Dataset 4: TMDB Movie Metadata</w:t>
      </w:r>
    </w:p>
    <w:p>
      <w:r>
        <w:t>Regression: predict log box-office revenue from budget, genre, cast/crew, timing, and pre-release popularity, the studio greenlight problem. Classification: hit vs flop (revenue &gt; 2× budget) from pre-release features only, evaluated with precision-recall for the asymmetric cost of a false greenlight. The log transform tames revenue’s skew for linear models; trees capture the budget-genre interactions studios argue about.</w:t>
      </w:r>
    </w:p>
    <w:p>
      <w:r/>
      <w:r>
        <w:rPr>
          <w:b/>
          <w:sz w:val="24"/>
        </w:rPr>
        <w:t>Dataset 5: FINRA Equity Short Interest, S&amp;P 500</w:t>
      </w:r>
    </w:p>
    <w:p>
      <w:r/>
      <w:r>
        <w:rPr>
          <w:sz w:val="24"/>
        </w:rPr>
        <w:t>Regression: predict log short shares from log average daily volume. Volume explains most of the position (R² 0.90 across stocks; doubling volume goes with about 1.9 times the short shares), and the residual (a stock’s actual short position divided by \2) is the quantity of interest. It exceeds 2 for 17 stocks (International Paper 3.4, T. Rowe Price 3.2, Texas Pacific Land 3.0) and falls below 0.5 for 3 (Sandisk, AMD, Tesla), so the same fit gives anomaly detection. Classification: label a report crowded when days-to-cover is above 5 (13% of rows) and test whether volume tier and exchange alone predict it (16% of rows for the lowest-volume quarter of stocks, 7% for the highest); short shares and days-to-cover stay out of the features because they would leak the label. Clustering on log volume, log short shares, and days-to-cover can show whether crowded, low-volume names form their own segment. Because a stock’s 90 reports resemble each other, evaluation holds out whole tickers (5-fold by stock; the regression scores R² 0.82), never random rows. </w:t>
      </w:r>
    </w:p>
    <w:p>
      <w:pPr>
        <w:jc w:val="center"/>
      </w:pPr>
      <w:r>
        <w:rPr>
          <w:b/>
          <w:sz w:val="24"/>
        </w:rPr>
        <w:t>4. Industry and problem: explanation of the kinds of questions that could be answered by each dataset</w:t>
      </w:r>
    </w:p>
    <w:p>
      <w:r>
        <w:rPr>
          <w:b/>
          <w:sz w:val="24"/>
        </w:rPr>
        <w:t>Dataset 1: SPY Equity Options Chain Snapshot (Finance: derivatives)</w:t>
      </w:r>
    </w:p>
    <w:p>
      <w:r>
        <w:t>Can ML recover the volatility smile by predicting IV from moneyness and expiry? Matters to volatility trading and market-making; personally, as a valuation specialist at a Hong Kong hedge fund, I want to prove out the volatility smile with data science methods rather than take it as a textbook given: an empirical test of the constant-volatility assumption behind Black-Scholes (Black &amp; Scholes, 1973). Do market Greeks behave as textbooks say across moneyness and tenor? I verified each behavior empirically here, useful for valuation and risk management and as a check on the data’s consistency. What drives IV most: moneyness, expiry, or liquidity? Tells pricing/risk functions where modeling effort belongs.</w:t>
      </w:r>
    </w:p>
    <w:p>
      <w:r>
        <w:rPr>
          <w:b/>
          <w:sz w:val="24"/>
        </w:rPr>
        <w:t>Dataset 2: China Passenger-Vehicle Sales, CPCA (Environment: automotive)</w:t>
      </w:r>
    </w:p>
    <w:p>
      <w:r>
        <w:t>Which attributes best predicted electrification: price segment, body type, or brand origin? Matters to auto strategy; personally, the demand side of emissions. Did the January 2023 subsidy end change EV price elasticity? A natural policy experiment in official-registration data. Can monthly EV sales be forecast from lags and mix, and where does a seasonal baseline break in 2021–2022? Matters to inventory and battery-supply planning.</w:t>
      </w:r>
    </w:p>
    <w:p>
      <w:r>
        <w:rPr>
          <w:b/>
          <w:sz w:val="24"/>
        </w:rPr>
        <w:t>Dataset 3: Spotify Track Features (Entertainment: music)</w:t>
      </w:r>
    </w:p>
    <w:p>
      <w:r>
        <w:t>Which audio features predict popularity: energy, danceability, valence? Matters to streaming economics and A&amp;R; personally, a listener’s curiosity. Do features cluster into stable archetypes for playlist design? Matters to recommendation, where the task is matching songs to moods.</w:t>
      </w:r>
    </w:p>
    <w:p>
      <w:r>
        <w:rPr>
          <w:b/>
          <w:sz w:val="24"/>
        </w:rPr>
        <w:t>Dataset 4: TMDB Movie Metadata (Entertainment: film)</w:t>
      </w:r>
    </w:p>
    <w:p>
      <w:r>
        <w:t>What drives revenue: budget, genre, cast, timing, pre-release popularity? Matters to greenlighting; personally, what the market pays for as a film consumer. Can a pre-release hit/flop classifier flag failures before money is spent? Matters to risk management where one flop erases a slate.</w:t>
      </w:r>
    </w:p>
    <w:p>
      <w:r/>
      <w:r>
        <w:rPr>
          <w:b/>
          <w:sz w:val="24"/>
        </w:rPr>
        <w:t>Dataset 5: FINRA Equity Short Interest, S&amp;P 500 (Finance: equities)</w:t>
      </w:r>
    </w:p>
    <w:p>
      <w:r/>
      <w:r>
        <w:rPr>
          <w:sz w:val="24"/>
        </w:rPr>
        <w:t>Which stocks are heavily shorted relative to how much they trade, and are they the lower-volume names? Matters to risk managers, prime brokers, and securities lenders: a large short position in a thinly traded stock is harder to cover and carries more squeeze risk, and a lender sees more borrow demand. Personally relevant as a hedge-fund professional. Does counting shares or measuring days-to-cover change who looks crowded? Only 5 of the 50 largest short positions are also among the 50 with the highest days-to-cover, because the biggest positions sit in the most heavily traded stocks (Nvidia, Ford, Apple). Are large one-report jumps real shorting or corporate actions such as splits and spin-offs? Matters to anyone building a short-interest monitor without false alarms. </w:t>
      </w:r>
    </w:p>
    <w:p>
      <w:pPr>
        <w:keepNext/>
        <w:jc w:val="center"/>
      </w:pPr>
      <w:r>
        <w:rPr>
          <w:b/>
          <w:sz w:val="24"/>
        </w:rPr>
        <w:t>Appendix A: Citations</w:t>
      </w:r>
    </w:p>
    <w:p>
      <w:pPr>
        <w:ind w:left="720" w:hanging="720"/>
      </w:pPr>
      <w:r>
        <w:t xml:space="preserve">Banik, R. (2017). </w:t>
      </w:r>
      <w:r>
        <w:rPr>
          <w:i/>
        </w:rPr>
        <w:t xml:space="preserve">The movies dataset</w:t>
      </w:r>
      <w:r>
        <w:t xml:space="preserve"> [Data set]. Kaggle. Metadata compiled from The Movie Database (TMDB) API and GroupLens MovieLens. https://www.kaggle.com/datasets/rounakbanik/the-movies-dataset</w:t>
      </w:r>
    </w:p>
    <w:p>
      <w:pPr>
        <w:ind w:left="720" w:hanging="720"/>
      </w:pPr>
      <w:r>
        <w:t xml:space="preserve">Black, F., &amp; Scholes, M. (1973). The pricing of options and corporate liabilities. </w:t>
      </w:r>
      <w:r>
        <w:rPr>
          <w:i/>
        </w:rPr>
        <w:t xml:space="preserve">Journal of Political Economy, 81</w:t>
      </w:r>
      <w:r>
        <w:t xml:space="preserve">(3), 637–654. https://doi.org/10.1086/260062</w:t>
      </w:r>
    </w:p>
    <w:p>
      <w:pPr>
        <w:ind w:left="720" w:hanging="720"/>
      </w:pPr>
      <w:r>
        <w:t xml:space="preserve">China Passenger Car Association. (2024). </w:t>
      </w:r>
      <w:r>
        <w:rPr>
          <w:i/>
        </w:rPr>
        <w:t xml:space="preserve">Monthly passenger-vehicle sales records, January 2018–April 2024</w:t>
      </w:r>
      <w:r>
        <w:t xml:space="preserve"> [Data set]. Kaggle. Compiled by Felix Zhao. https://www.kaggle.com/datasets/felixzhao/china-automobile-monthly-sales-data-2018-2024-4</w:t>
      </w:r>
    </w:p>
    <w:p>
      <w:pPr>
        <w:ind w:left="720" w:hanging="720"/>
      </w:pPr>
      <w:r>
        <w:t xml:space="preserve">Dubach, P. (2025). </w:t>
      </w:r>
      <w:r>
        <w:rPr>
          <w:i/>
        </w:rPr>
        <w:t xml:space="preserve">Historic options dataset: SPY, IWM, and QQQ options 2008–2025</w:t>
      </w:r>
      <w:r>
        <w:t xml:space="preserve"> [Data set]. GitHub. SPY options chain, December 31, 2024. Original GitHub repository no longer available. File: SPY_options.parquet, from: https://github.com/lambdaclass/options_portfolio_backtester/releases/</w:t>
      </w:r>
    </w:p>
    <w:p>
      <w:pPr>
        <w:ind w:left="720" w:hanging="720"/>
      </w:pPr>
      <w:r>
        <w:t xml:space="preserve">Financial Industry Regulatory Authority. (2026). </w:t>
      </w:r>
      <w:r>
        <w:rPr>
          <w:i/>
        </w:rPr>
        <w:t xml:space="preserve">Equity short interest</w:t>
      </w:r>
      <w:r>
        <w:t xml:space="preserve"> [Data set]. Twice-monthly reports for S&amp;P 500 constituents, 90 settlement dates, January 2023–September 2026. https://www.finra.org/finra-data/browse-catalog/equity-short-interest</w:t>
      </w:r>
    </w:p>
    <w:p>
      <w:pPr>
        <w:ind w:left="720" w:hanging="720"/>
      </w:pPr>
      <w:r>
        <w:t xml:space="preserve">Hamidani, Z. (n.d.). </w:t>
      </w:r>
      <w:r>
        <w:rPr>
          <w:i/>
        </w:rPr>
        <w:t xml:space="preserve">Ultimate Spotify tracks DB</w:t>
      </w:r>
      <w:r>
        <w:t xml:space="preserve"> [Data set]. Kaggle. Audio features computed by the Spotify Web API. https://www.kaggle.com/datasets/zaheenhamidani/ultimate-spotify-tracks-db</w:t>
      </w:r>
    </w:p>
    <w:p>
      <w:pPr>
        <w:jc w:val="center"/>
      </w:pPr>
      <w:r>
        <w:rPr>
          <w:b/>
          <w:sz w:val="24"/>
        </w:rPr>
        <w:t>Appendix B: AI Appendix</w:t>
      </w:r>
    </w:p>
    <w:p>
      <w:r>
        <w:t>I used AI to brainstorm topic areas and to identify datasets that met my requirements (at least 10,000 rows and a sufficient mix of column types). I also used AI to fit the document to the required formatting: 12-point Times New Roman, double spacing, one-inch margins, and the rubric’s section labels.</w:t>
      </w:r>
    </w:p>
    <w:p>
      <w:pPr>
        <w:pageBreakBefore/>
        <w:jc w:val="center"/>
      </w:pPr>
      <w:r>
        <w:rPr>
          <w:b/>
          <w:sz w:val="24"/>
        </w:rPr>
        <w:t>Appendix C: Dataset Examples (first three rows)</w:t>
      </w:r>
    </w:p>
    <w:p>
      <w:r>
        <w:t>Each table shows the first three rows of the dataset file, restricted to key columns for page width, except Dataset 1: its first rows are deep in-the-money contracts expiring December 31, 2024, so three consecutive near-the-money contracts from the file are shown instead. Full column lists appear in Section 1.</w:t>
      </w:r>
    </w:p>
    <w:p>
      <w:pPr>
        <w:keepNext/>
        <w:spacing w:before="120" w:after="60" w:line="240" w:lineRule="auto"/>
      </w:pPr>
      <w:r>
        <w:rPr>
          <w:b/>
          <w:sz w:val="24"/>
        </w:rPr>
        <w:t>Dataset 1: SPY options chain snapshot, near-the-money contracts (6 of 23 columns)</w:t>
      </w:r>
    </w:p>
    <w:tbl>
      <w:tblPr>
        <w:tblStyle w:val="TableGrid"/>
        <w:tblW w:type="dxa" w:w="8900"/>
        <w:jc w:val="center"/>
        <w:tblLayout w:type="fixed"/>
        <w:tblLook w:firstColumn="1" w:firstRow="1" w:lastColumn="0" w:lastRow="0" w:noHBand="0" w:noVBand="1" w:val="04A0"/>
      </w:tblPr>
      <w:tblGrid>
        <w:gridCol w:w="2700"/>
        <w:gridCol w:w="950"/>
        <w:gridCol w:w="800"/>
        <w:gridCol w:w="800"/>
        <w:gridCol w:w="1250"/>
        <w:gridCol w:w="2400"/>
      </w:tblGrid>
      <w:tr>
        <w:trPr>
          <w:cantSplit/>
        </w:trPr>
        <w:tc>
          <w:tcPr>
            <w:tcW w:type="dxa" w:w="2700"/>
          </w:tcPr>
          <w:p>
            <w:pPr>
              <w:spacing w:before="0" w:after="0" w:line="240" w:lineRule="auto"/>
            </w:pPr>
            <w:r>
              <w:rPr>
                <w:b/>
                <w:sz w:val="24"/>
              </w:rPr>
              <w:t xml:space="preserve">contract_id</w:t>
            </w:r>
          </w:p>
        </w:tc>
        <w:tc>
          <w:tcPr>
            <w:tcW w:type="dxa" w:w="950"/>
          </w:tcPr>
          <w:p>
            <w:pPr>
              <w:spacing w:before="0" w:after="0" w:line="240" w:lineRule="auto"/>
            </w:pPr>
            <w:r>
              <w:rPr>
                <w:b/>
                <w:sz w:val="24"/>
              </w:rPr>
              <w:t xml:space="preserve">strike</w:t>
            </w:r>
          </w:p>
        </w:tc>
        <w:tc>
          <w:tcPr>
            <w:tcW w:type="dxa" w:w="800"/>
          </w:tcPr>
          <w:p>
            <w:pPr>
              <w:spacing w:before="0" w:after="0" w:line="240" w:lineRule="auto"/>
            </w:pPr>
            <w:r>
              <w:rPr>
                <w:b/>
                <w:sz w:val="24"/>
              </w:rPr>
              <w:t xml:space="preserve">type</w:t>
            </w:r>
          </w:p>
        </w:tc>
        <w:tc>
          <w:tcPr>
            <w:tcW w:type="dxa" w:w="800"/>
          </w:tcPr>
          <w:p>
            <w:pPr>
              <w:spacing w:before="0" w:after="0" w:line="240" w:lineRule="auto"/>
            </w:pPr>
            <w:r>
              <w:rPr>
                <w:b/>
                <w:sz w:val="24"/>
              </w:rPr>
              <w:t xml:space="preserve">last</w:t>
            </w:r>
          </w:p>
        </w:tc>
        <w:tc>
          <w:tcPr>
            <w:tcW w:type="dxa" w:w="1250"/>
          </w:tcPr>
          <w:p>
            <w:pPr>
              <w:spacing w:before="0" w:after="0" w:line="240" w:lineRule="auto"/>
            </w:pPr>
            <w:r>
              <w:rPr>
                <w:b/>
                <w:sz w:val="24"/>
              </w:rPr>
              <w:t xml:space="preserve">volume</w:t>
            </w:r>
          </w:p>
        </w:tc>
        <w:tc>
          <w:tcPr>
            <w:tcW w:type="dxa" w:w="2400"/>
          </w:tcPr>
          <w:p>
            <w:pPr>
              <w:spacing w:before="0" w:after="0" w:line="240" w:lineRule="auto"/>
            </w:pPr>
            <w:r>
              <w:rPr>
                <w:b/>
                <w:sz w:val="24"/>
              </w:rPr>
              <w:t xml:space="preserve">implied_volatility</w:t>
            </w:r>
          </w:p>
        </w:tc>
      </w:tr>
      <w:tr>
        <w:trPr>
          <w:cantSplit/>
        </w:trPr>
        <w:tc>
          <w:tcPr>
            <w:tcW w:type="dxa" w:w="2700"/>
          </w:tcPr>
          <w:p>
            <w:pPr>
              <w:spacing w:before="0" w:after="0" w:line="240" w:lineRule="auto"/>
            </w:pPr>
            <w:r>
              <w:rPr>
                <w:sz w:val="24"/>
              </w:rPr>
              <w:t xml:space="preserve">SPY250207C00594000</w:t>
            </w:r>
          </w:p>
        </w:tc>
        <w:tc>
          <w:tcPr>
            <w:tcW w:type="dxa" w:w="950"/>
          </w:tcPr>
          <w:p>
            <w:pPr>
              <w:spacing w:before="0" w:after="0" w:line="240" w:lineRule="auto"/>
            </w:pPr>
            <w:r>
              <w:rPr>
                <w:sz w:val="24"/>
              </w:rPr>
              <w:t xml:space="preserve">594.0</w:t>
            </w:r>
          </w:p>
        </w:tc>
        <w:tc>
          <w:tcPr>
            <w:tcW w:type="dxa" w:w="800"/>
          </w:tcPr>
          <w:p>
            <w:pPr>
              <w:spacing w:before="0" w:after="0" w:line="240" w:lineRule="auto"/>
            </w:pPr>
            <w:r>
              <w:rPr>
                <w:sz w:val="24"/>
              </w:rPr>
              <w:t xml:space="preserve">call</w:t>
            </w:r>
          </w:p>
        </w:tc>
        <w:tc>
          <w:tcPr>
            <w:tcW w:type="dxa" w:w="800"/>
          </w:tcPr>
          <w:p>
            <w:pPr>
              <w:spacing w:before="0" w:after="0" w:line="240" w:lineRule="auto"/>
            </w:pPr>
            <w:r>
              <w:rPr>
                <w:sz w:val="24"/>
              </w:rPr>
              <w:t xml:space="preserve">7.8</w:t>
            </w:r>
          </w:p>
        </w:tc>
        <w:tc>
          <w:tcPr>
            <w:tcW w:type="dxa" w:w="1250"/>
          </w:tcPr>
          <w:p>
            <w:pPr>
              <w:spacing w:before="0" w:after="0" w:line="240" w:lineRule="auto"/>
            </w:pPr>
            <w:r>
              <w:rPr>
                <w:sz w:val="24"/>
              </w:rPr>
              <w:t xml:space="preserve">275</w:t>
            </w:r>
          </w:p>
        </w:tc>
        <w:tc>
          <w:tcPr>
            <w:tcW w:type="dxa" w:w="2400"/>
          </w:tcPr>
          <w:p>
            <w:pPr>
              <w:spacing w:before="0" w:after="0" w:line="240" w:lineRule="auto"/>
            </w:pPr>
            <w:r>
              <w:rPr>
                <w:sz w:val="24"/>
              </w:rPr>
              <w:t xml:space="preserve">0.13195</w:t>
            </w:r>
          </w:p>
        </w:tc>
      </w:tr>
      <w:tr>
        <w:trPr>
          <w:cantSplit/>
        </w:trPr>
        <w:tc>
          <w:tcPr>
            <w:tcW w:type="dxa" w:w="2700"/>
          </w:tcPr>
          <w:p>
            <w:pPr>
              <w:spacing w:before="0" w:after="0" w:line="240" w:lineRule="auto"/>
            </w:pPr>
            <w:r>
              <w:rPr>
                <w:sz w:val="24"/>
              </w:rPr>
              <w:t xml:space="preserve">SPY250207P00594000</w:t>
            </w:r>
          </w:p>
        </w:tc>
        <w:tc>
          <w:tcPr>
            <w:tcW w:type="dxa" w:w="950"/>
          </w:tcPr>
          <w:p>
            <w:pPr>
              <w:spacing w:before="0" w:after="0" w:line="240" w:lineRule="auto"/>
            </w:pPr>
            <w:r>
              <w:rPr>
                <w:sz w:val="24"/>
              </w:rPr>
              <w:t xml:space="preserve">594.0</w:t>
            </w:r>
          </w:p>
        </w:tc>
        <w:tc>
          <w:tcPr>
            <w:tcW w:type="dxa" w:w="800"/>
          </w:tcPr>
          <w:p>
            <w:pPr>
              <w:spacing w:before="0" w:after="0" w:line="240" w:lineRule="auto"/>
            </w:pPr>
            <w:r>
              <w:rPr>
                <w:sz w:val="24"/>
              </w:rPr>
              <w:t xml:space="preserve">put</w:t>
            </w:r>
          </w:p>
        </w:tc>
        <w:tc>
          <w:tcPr>
            <w:tcW w:type="dxa" w:w="800"/>
          </w:tcPr>
          <w:p>
            <w:pPr>
              <w:spacing w:before="0" w:after="0" w:line="240" w:lineRule="auto"/>
            </w:pPr>
            <w:r>
              <w:rPr>
                <w:sz w:val="24"/>
              </w:rPr>
              <w:t xml:space="preserve">12.94</w:t>
            </w:r>
          </w:p>
        </w:tc>
        <w:tc>
          <w:tcPr>
            <w:tcW w:type="dxa" w:w="1250"/>
          </w:tcPr>
          <w:p>
            <w:pPr>
              <w:spacing w:before="0" w:after="0" w:line="240" w:lineRule="auto"/>
            </w:pPr>
            <w:r>
              <w:rPr>
                <w:sz w:val="24"/>
              </w:rPr>
              <w:t xml:space="preserve">12</w:t>
            </w:r>
          </w:p>
        </w:tc>
        <w:tc>
          <w:tcPr>
            <w:tcW w:type="dxa" w:w="2400"/>
          </w:tcPr>
          <w:p>
            <w:pPr>
              <w:spacing w:before="0" w:after="0" w:line="240" w:lineRule="auto"/>
            </w:pPr>
            <w:r>
              <w:rPr>
                <w:sz w:val="24"/>
              </w:rPr>
              <w:t xml:space="preserve">0.1417</w:t>
            </w:r>
          </w:p>
        </w:tc>
      </w:tr>
      <w:tr>
        <w:trPr>
          <w:cantSplit/>
        </w:trPr>
        <w:tc>
          <w:tcPr>
            <w:tcW w:type="dxa" w:w="2700"/>
          </w:tcPr>
          <w:p>
            <w:pPr>
              <w:spacing w:before="0" w:after="0" w:line="240" w:lineRule="auto"/>
            </w:pPr>
            <w:r>
              <w:rPr>
                <w:sz w:val="24"/>
              </w:rPr>
              <w:t xml:space="preserve">SPY250207C00595000</w:t>
            </w:r>
          </w:p>
        </w:tc>
        <w:tc>
          <w:tcPr>
            <w:tcW w:type="dxa" w:w="950"/>
          </w:tcPr>
          <w:p>
            <w:pPr>
              <w:spacing w:before="0" w:after="0" w:line="240" w:lineRule="auto"/>
            </w:pPr>
            <w:r>
              <w:rPr>
                <w:sz w:val="24"/>
              </w:rPr>
              <w:t xml:space="preserve">595.0</w:t>
            </w:r>
          </w:p>
        </w:tc>
        <w:tc>
          <w:tcPr>
            <w:tcW w:type="dxa" w:w="800"/>
          </w:tcPr>
          <w:p>
            <w:pPr>
              <w:spacing w:before="0" w:after="0" w:line="240" w:lineRule="auto"/>
            </w:pPr>
            <w:r>
              <w:rPr>
                <w:sz w:val="24"/>
              </w:rPr>
              <w:t xml:space="preserve">call</w:t>
            </w:r>
          </w:p>
        </w:tc>
        <w:tc>
          <w:tcPr>
            <w:tcW w:type="dxa" w:w="800"/>
          </w:tcPr>
          <w:p>
            <w:pPr>
              <w:spacing w:before="0" w:after="0" w:line="240" w:lineRule="auto"/>
            </w:pPr>
            <w:r>
              <w:rPr>
                <w:sz w:val="24"/>
              </w:rPr>
              <w:t xml:space="preserve">7.39</w:t>
            </w:r>
          </w:p>
        </w:tc>
        <w:tc>
          <w:tcPr>
            <w:tcW w:type="dxa" w:w="1250"/>
          </w:tcPr>
          <w:p>
            <w:pPr>
              <w:spacing w:before="0" w:after="0" w:line="240" w:lineRule="auto"/>
            </w:pPr>
            <w:r>
              <w:rPr>
                <w:sz w:val="24"/>
              </w:rPr>
              <w:t xml:space="preserve">134</w:t>
            </w:r>
          </w:p>
        </w:tc>
        <w:tc>
          <w:tcPr>
            <w:tcW w:type="dxa" w:w="2400"/>
          </w:tcPr>
          <w:p>
            <w:pPr>
              <w:spacing w:before="0" w:after="0" w:line="240" w:lineRule="auto"/>
            </w:pPr>
            <w:r>
              <w:rPr>
                <w:sz w:val="24"/>
              </w:rPr>
              <w:t xml:space="preserve">0.13195</w:t>
            </w:r>
          </w:p>
        </w:tc>
      </w:tr>
    </w:tbl>
    <w:p>
      <w:pPr>
        <w:keepNext/>
        <w:spacing w:before="120" w:after="60" w:line="240" w:lineRule="auto"/>
      </w:pPr>
      <w:r>
        <w:rPr>
          <w:b/>
          <w:sz w:val="24"/>
        </w:rPr>
        <w:t>Dataset 2: China passenger-vehicle sales (5 of 10 columns)</w:t>
      </w:r>
    </w:p>
    <w:tbl>
      <w:tblPr>
        <w:tblStyle w:val="TableGrid"/>
        <w:tblW w:type="dxa" w:w="8200"/>
        <w:jc w:val="center"/>
        <w:tblLayout w:type="fixed"/>
        <w:tblLook w:firstColumn="1" w:firstRow="1" w:lastColumn="0" w:lastRow="0" w:noHBand="0" w:noVBand="1" w:val="04A0"/>
      </w:tblPr>
      <w:tblGrid>
        <w:gridCol w:w="1500"/>
        <w:gridCol w:w="1900"/>
        <w:gridCol w:w="2400"/>
        <w:gridCol w:w="1400"/>
        <w:gridCol w:w="1000"/>
      </w:tblGrid>
      <w:tr>
        <w:trPr>
          <w:cantSplit/>
        </w:trPr>
        <w:tc>
          <w:tcPr>
            <w:tcW w:type="dxa" w:w="1500"/>
          </w:tcPr>
          <w:p>
            <w:pPr>
              <w:spacing w:before="0" w:after="0" w:line="240" w:lineRule="auto"/>
            </w:pPr>
            <w:r>
              <w:rPr>
                <w:b/>
                <w:sz w:val="24"/>
              </w:rPr>
              <w:t xml:space="preserve">year_month</w:t>
            </w:r>
          </w:p>
        </w:tc>
        <w:tc>
          <w:tcPr>
            <w:tcW w:type="dxa" w:w="1900"/>
          </w:tcPr>
          <w:p>
            <w:pPr>
              <w:spacing w:before="0" w:after="0" w:line="240" w:lineRule="auto"/>
            </w:pPr>
            <w:r>
              <w:rPr>
                <w:b/>
                <w:sz w:val="24"/>
              </w:rPr>
              <w:t xml:space="preserve">brand</w:t>
            </w:r>
          </w:p>
        </w:tc>
        <w:tc>
          <w:tcPr>
            <w:tcW w:type="dxa" w:w="2400"/>
          </w:tcPr>
          <w:p>
            <w:pPr>
              <w:spacing w:before="0" w:after="0" w:line="240" w:lineRule="auto"/>
            </w:pPr>
            <w:r>
              <w:rPr>
                <w:b/>
                <w:sz w:val="24"/>
              </w:rPr>
              <w:t xml:space="preserve">model</w:t>
            </w:r>
          </w:p>
        </w:tc>
        <w:tc>
          <w:tcPr>
            <w:tcW w:type="dxa" w:w="1400"/>
          </w:tcPr>
          <w:p>
            <w:pPr>
              <w:spacing w:before="0" w:after="0" w:line="240" w:lineRule="auto"/>
            </w:pPr>
            <w:r>
              <w:rPr>
                <w:b/>
                <w:sz w:val="24"/>
              </w:rPr>
              <w:t xml:space="preserve">units_sold</w:t>
            </w:r>
          </w:p>
        </w:tc>
        <w:tc>
          <w:tcPr>
            <w:tcW w:type="dxa" w:w="1000"/>
          </w:tcPr>
          <w:p>
            <w:pPr>
              <w:spacing w:before="0" w:after="0" w:line="240" w:lineRule="auto"/>
            </w:pPr>
            <w:r>
              <w:rPr>
                <w:b/>
                <w:sz w:val="24"/>
              </w:rPr>
              <w:t xml:space="preserve">is_ev</w:t>
            </w:r>
          </w:p>
        </w:tc>
      </w:tr>
      <w:tr>
        <w:trPr>
          <w:cantSplit/>
        </w:trPr>
        <w:tc>
          <w:tcPr>
            <w:tcW w:type="dxa" w:w="1500"/>
          </w:tcPr>
          <w:p>
            <w:pPr>
              <w:spacing w:before="0" w:after="0" w:line="240" w:lineRule="auto"/>
            </w:pPr>
            <w:r>
              <w:rPr>
                <w:sz w:val="24"/>
              </w:rPr>
              <w:t xml:space="preserve">2022-11-01</w:t>
            </w:r>
          </w:p>
        </w:tc>
        <w:tc>
          <w:tcPr>
            <w:tcW w:type="dxa" w:w="1900"/>
          </w:tcPr>
          <w:p>
            <w:pPr>
              <w:spacing w:before="0" w:after="0" w:line="240" w:lineRule="auto"/>
            </w:pPr>
            <w:r>
              <w:rPr>
                <w:sz w:val="24"/>
              </w:rPr>
              <w:t xml:space="preserve">Tesla</w:t>
            </w:r>
          </w:p>
        </w:tc>
        <w:tc>
          <w:tcPr>
            <w:tcW w:type="dxa" w:w="2400"/>
          </w:tcPr>
          <w:p>
            <w:pPr>
              <w:spacing w:before="0" w:after="0" w:line="240" w:lineRule="auto"/>
            </w:pPr>
            <w:r>
              <w:rPr>
                <w:sz w:val="24"/>
              </w:rPr>
              <w:t xml:space="preserve">Model Y</w:t>
            </w:r>
          </w:p>
        </w:tc>
        <w:tc>
          <w:tcPr>
            <w:tcW w:type="dxa" w:w="1400"/>
          </w:tcPr>
          <w:p>
            <w:pPr>
              <w:spacing w:before="0" w:after="0" w:line="240" w:lineRule="auto"/>
            </w:pPr>
            <w:r>
              <w:rPr>
                <w:sz w:val="24"/>
              </w:rPr>
              <w:t xml:space="preserve">69098</w:t>
            </w:r>
          </w:p>
        </w:tc>
        <w:tc>
          <w:tcPr>
            <w:tcW w:type="dxa" w:w="1000"/>
          </w:tcPr>
          <w:p>
            <w:pPr>
              <w:spacing w:before="0" w:after="0" w:line="240" w:lineRule="auto"/>
            </w:pPr>
            <w:r>
              <w:rPr>
                <w:sz w:val="24"/>
              </w:rPr>
              <w:t xml:space="preserve">EV</w:t>
            </w:r>
          </w:p>
        </w:tc>
      </w:tr>
      <w:tr>
        <w:trPr>
          <w:cantSplit/>
        </w:trPr>
        <w:tc>
          <w:tcPr>
            <w:tcW w:type="dxa" w:w="1500"/>
          </w:tcPr>
          <w:p>
            <w:pPr>
              <w:spacing w:before="0" w:after="0" w:line="240" w:lineRule="auto"/>
            </w:pPr>
            <w:r>
              <w:rPr>
                <w:sz w:val="24"/>
              </w:rPr>
              <w:t xml:space="preserve">2022-11-01</w:t>
            </w:r>
          </w:p>
        </w:tc>
        <w:tc>
          <w:tcPr>
            <w:tcW w:type="dxa" w:w="1900"/>
          </w:tcPr>
          <w:p>
            <w:pPr>
              <w:spacing w:before="0" w:after="0" w:line="240" w:lineRule="auto"/>
            </w:pPr>
            <w:r>
              <w:rPr>
                <w:sz w:val="24"/>
              </w:rPr>
              <w:t xml:space="preserve">Wuling Motors</w:t>
            </w:r>
          </w:p>
        </w:tc>
        <w:tc>
          <w:tcPr>
            <w:tcW w:type="dxa" w:w="2400"/>
          </w:tcPr>
          <w:p>
            <w:pPr>
              <w:spacing w:before="0" w:after="0" w:line="240" w:lineRule="auto"/>
            </w:pPr>
            <w:r>
              <w:rPr>
                <w:sz w:val="24"/>
              </w:rPr>
              <w:t xml:space="preserve">宏光MINIEV</w:t>
            </w:r>
          </w:p>
        </w:tc>
        <w:tc>
          <w:tcPr>
            <w:tcW w:type="dxa" w:w="1400"/>
          </w:tcPr>
          <w:p>
            <w:pPr>
              <w:spacing w:before="0" w:after="0" w:line="240" w:lineRule="auto"/>
            </w:pPr>
            <w:r>
              <w:rPr>
                <w:sz w:val="24"/>
              </w:rPr>
              <w:t xml:space="preserve">68567</w:t>
            </w:r>
          </w:p>
        </w:tc>
        <w:tc>
          <w:tcPr>
            <w:tcW w:type="dxa" w:w="1000"/>
          </w:tcPr>
          <w:p>
            <w:pPr>
              <w:spacing w:before="0" w:after="0" w:line="240" w:lineRule="auto"/>
            </w:pPr>
            <w:r>
              <w:rPr>
                <w:sz w:val="24"/>
              </w:rPr>
              <w:t xml:space="preserve">EV</w:t>
            </w:r>
          </w:p>
        </w:tc>
      </w:tr>
      <w:tr>
        <w:trPr>
          <w:cantSplit/>
        </w:trPr>
        <w:tc>
          <w:tcPr>
            <w:tcW w:type="dxa" w:w="1500"/>
          </w:tcPr>
          <w:p>
            <w:pPr>
              <w:spacing w:before="0" w:after="0" w:line="240" w:lineRule="auto"/>
            </w:pPr>
            <w:r>
              <w:rPr>
                <w:sz w:val="24"/>
              </w:rPr>
              <w:t xml:space="preserve">2022-11-01</w:t>
            </w:r>
          </w:p>
        </w:tc>
        <w:tc>
          <w:tcPr>
            <w:tcW w:type="dxa" w:w="1900"/>
          </w:tcPr>
          <w:p>
            <w:pPr>
              <w:spacing w:before="0" w:after="0" w:line="240" w:lineRule="auto"/>
            </w:pPr>
            <w:r>
              <w:rPr>
                <w:sz w:val="24"/>
              </w:rPr>
              <w:t xml:space="preserve">BYD</w:t>
            </w:r>
          </w:p>
        </w:tc>
        <w:tc>
          <w:tcPr>
            <w:tcW w:type="dxa" w:w="2400"/>
          </w:tcPr>
          <w:p>
            <w:pPr>
              <w:spacing w:before="0" w:after="0" w:line="240" w:lineRule="auto"/>
            </w:pPr>
            <w:r>
              <w:rPr>
                <w:sz w:val="24"/>
              </w:rPr>
              <w:t xml:space="preserve">宋PLUS新能源</w:t>
            </w:r>
          </w:p>
        </w:tc>
        <w:tc>
          <w:tcPr>
            <w:tcW w:type="dxa" w:w="1400"/>
          </w:tcPr>
          <w:p>
            <w:pPr>
              <w:spacing w:before="0" w:after="0" w:line="240" w:lineRule="auto"/>
            </w:pPr>
            <w:r>
              <w:rPr>
                <w:sz w:val="24"/>
              </w:rPr>
              <w:t xml:space="preserve">64145</w:t>
            </w:r>
          </w:p>
        </w:tc>
        <w:tc>
          <w:tcPr>
            <w:tcW w:type="dxa" w:w="1000"/>
          </w:tcPr>
          <w:p>
            <w:pPr>
              <w:spacing w:before="0" w:after="0" w:line="240" w:lineRule="auto"/>
            </w:pPr>
            <w:r>
              <w:rPr>
                <w:sz w:val="24"/>
              </w:rPr>
              <w:t xml:space="preserve">EV</w:t>
            </w:r>
          </w:p>
        </w:tc>
      </w:tr>
    </w:tbl>
    <w:p>
      <w:pPr>
        <w:keepNext/>
        <w:spacing w:before="120" w:after="60" w:line="240" w:lineRule="auto"/>
      </w:pPr>
      <w:r>
        <w:rPr>
          <w:b/>
          <w:sz w:val="24"/>
        </w:rPr>
        <w:t>Dataset 3: Spotify track features (5 of 20 columns)</w:t>
      </w:r>
    </w:p>
    <w:tbl>
      <w:tblPr>
        <w:tblStyle w:val="TableGrid"/>
        <w:tblW w:type="dxa" w:w="9150"/>
        <w:jc w:val="center"/>
        <w:tblLayout w:type="fixed"/>
        <w:tblLook w:firstColumn="1" w:firstRow="1" w:lastColumn="0" w:lastRow="0" w:noHBand="0" w:noVBand="1" w:val="04A0"/>
      </w:tblPr>
      <w:tblGrid>
        <w:gridCol w:w="2300"/>
        <w:gridCol w:w="1900"/>
        <w:gridCol w:w="1750"/>
        <w:gridCol w:w="1700"/>
        <w:gridCol w:w="1500"/>
      </w:tblGrid>
      <w:tr>
        <w:trPr>
          <w:cantSplit/>
        </w:trPr>
        <w:tc>
          <w:tcPr>
            <w:tcW w:type="dxa" w:w="2300"/>
          </w:tcPr>
          <w:p>
            <w:pPr>
              <w:spacing w:before="0" w:after="0" w:line="240" w:lineRule="auto"/>
            </w:pPr>
            <w:r>
              <w:rPr>
                <w:b/>
                <w:sz w:val="24"/>
              </w:rPr>
              <w:t xml:space="preserve">artists</w:t>
            </w:r>
          </w:p>
        </w:tc>
        <w:tc>
          <w:tcPr>
            <w:tcW w:type="dxa" w:w="1900"/>
          </w:tcPr>
          <w:p>
            <w:pPr>
              <w:spacing w:before="0" w:after="0" w:line="240" w:lineRule="auto"/>
            </w:pPr>
            <w:r>
              <w:rPr>
                <w:b/>
                <w:sz w:val="24"/>
              </w:rPr>
              <w:t xml:space="preserve">track_name</w:t>
            </w:r>
          </w:p>
        </w:tc>
        <w:tc>
          <w:tcPr>
            <w:tcW w:type="dxa" w:w="1750"/>
          </w:tcPr>
          <w:p>
            <w:pPr>
              <w:spacing w:before="0" w:after="0" w:line="240" w:lineRule="auto"/>
            </w:pPr>
            <w:r>
              <w:rPr>
                <w:b/>
                <w:sz w:val="24"/>
              </w:rPr>
              <w:t xml:space="preserve">popularity</w:t>
            </w:r>
          </w:p>
        </w:tc>
        <w:tc>
          <w:tcPr>
            <w:tcW w:type="dxa" w:w="1700"/>
          </w:tcPr>
          <w:p>
            <w:pPr>
              <w:spacing w:before="0" w:after="0" w:line="240" w:lineRule="auto"/>
            </w:pPr>
            <w:r>
              <w:rPr>
                <w:b/>
                <w:sz w:val="24"/>
              </w:rPr>
              <w:t xml:space="preserve">danceability</w:t>
            </w:r>
          </w:p>
        </w:tc>
        <w:tc>
          <w:tcPr>
            <w:tcW w:type="dxa" w:w="1500"/>
          </w:tcPr>
          <w:p>
            <w:pPr>
              <w:spacing w:before="0" w:after="0" w:line="240" w:lineRule="auto"/>
            </w:pPr>
            <w:r>
              <w:rPr>
                <w:b/>
                <w:sz w:val="24"/>
              </w:rPr>
              <w:t xml:space="preserve">track_genre</w:t>
            </w:r>
          </w:p>
        </w:tc>
      </w:tr>
      <w:tr>
        <w:trPr>
          <w:cantSplit/>
        </w:trPr>
        <w:tc>
          <w:tcPr>
            <w:tcW w:type="dxa" w:w="2300"/>
          </w:tcPr>
          <w:p>
            <w:pPr>
              <w:spacing w:before="0" w:after="0" w:line="240" w:lineRule="auto"/>
            </w:pPr>
            <w:r>
              <w:rPr>
                <w:sz w:val="24"/>
              </w:rPr>
              <w:t xml:space="preserve">Gen Hoshino</w:t>
            </w:r>
          </w:p>
        </w:tc>
        <w:tc>
          <w:tcPr>
            <w:tcW w:type="dxa" w:w="1900"/>
          </w:tcPr>
          <w:p>
            <w:pPr>
              <w:spacing w:before="0" w:after="0" w:line="240" w:lineRule="auto"/>
            </w:pPr>
            <w:r>
              <w:rPr>
                <w:sz w:val="24"/>
              </w:rPr>
              <w:t xml:space="preserve">Comedy</w:t>
            </w:r>
          </w:p>
        </w:tc>
        <w:tc>
          <w:tcPr>
            <w:tcW w:type="dxa" w:w="1750"/>
          </w:tcPr>
          <w:p>
            <w:pPr>
              <w:spacing w:before="0" w:after="0" w:line="240" w:lineRule="auto"/>
            </w:pPr>
            <w:r>
              <w:rPr>
                <w:sz w:val="24"/>
              </w:rPr>
              <w:t xml:space="preserve">73</w:t>
            </w:r>
          </w:p>
        </w:tc>
        <w:tc>
          <w:tcPr>
            <w:tcW w:type="dxa" w:w="1700"/>
          </w:tcPr>
          <w:p>
            <w:pPr>
              <w:spacing w:before="0" w:after="0" w:line="240" w:lineRule="auto"/>
            </w:pPr>
            <w:r>
              <w:rPr>
                <w:sz w:val="24"/>
              </w:rPr>
              <w:t xml:space="preserve">0.676</w:t>
            </w:r>
          </w:p>
        </w:tc>
        <w:tc>
          <w:tcPr>
            <w:tcW w:type="dxa" w:w="1500"/>
          </w:tcPr>
          <w:p>
            <w:pPr>
              <w:spacing w:before="0" w:after="0" w:line="240" w:lineRule="auto"/>
            </w:pPr>
            <w:r>
              <w:rPr>
                <w:sz w:val="24"/>
              </w:rPr>
              <w:t xml:space="preserve">acoustic</w:t>
            </w:r>
          </w:p>
        </w:tc>
      </w:tr>
      <w:tr>
        <w:trPr>
          <w:cantSplit/>
        </w:trPr>
        <w:tc>
          <w:tcPr>
            <w:tcW w:type="dxa" w:w="2300"/>
          </w:tcPr>
          <w:p>
            <w:pPr>
              <w:spacing w:before="0" w:after="0" w:line="240" w:lineRule="auto"/>
            </w:pPr>
            <w:r>
              <w:rPr>
                <w:sz w:val="24"/>
              </w:rPr>
              <w:t xml:space="preserve">Ben Woodward</w:t>
            </w:r>
          </w:p>
        </w:tc>
        <w:tc>
          <w:tcPr>
            <w:tcW w:type="dxa" w:w="1900"/>
          </w:tcPr>
          <w:p>
            <w:pPr>
              <w:spacing w:before="0" w:after="0" w:line="240" w:lineRule="auto"/>
            </w:pPr>
            <w:r>
              <w:rPr>
                <w:sz w:val="24"/>
              </w:rPr>
              <w:t xml:space="preserve">Ghost - Acoustic</w:t>
            </w:r>
          </w:p>
        </w:tc>
        <w:tc>
          <w:tcPr>
            <w:tcW w:type="dxa" w:w="1750"/>
          </w:tcPr>
          <w:p>
            <w:pPr>
              <w:spacing w:before="0" w:after="0" w:line="240" w:lineRule="auto"/>
            </w:pPr>
            <w:r>
              <w:rPr>
                <w:sz w:val="24"/>
              </w:rPr>
              <w:t xml:space="preserve">55</w:t>
            </w:r>
          </w:p>
        </w:tc>
        <w:tc>
          <w:tcPr>
            <w:tcW w:type="dxa" w:w="1700"/>
          </w:tcPr>
          <w:p>
            <w:pPr>
              <w:spacing w:before="0" w:after="0" w:line="240" w:lineRule="auto"/>
            </w:pPr>
            <w:r>
              <w:rPr>
                <w:sz w:val="24"/>
              </w:rPr>
              <w:t xml:space="preserve">0.42</w:t>
            </w:r>
          </w:p>
        </w:tc>
        <w:tc>
          <w:tcPr>
            <w:tcW w:type="dxa" w:w="1500"/>
          </w:tcPr>
          <w:p>
            <w:pPr>
              <w:spacing w:before="0" w:after="0" w:line="240" w:lineRule="auto"/>
            </w:pPr>
            <w:r>
              <w:rPr>
                <w:sz w:val="24"/>
              </w:rPr>
              <w:t xml:space="preserve">acoustic</w:t>
            </w:r>
          </w:p>
        </w:tc>
      </w:tr>
      <w:tr>
        <w:trPr>
          <w:cantSplit/>
        </w:trPr>
        <w:tc>
          <w:tcPr>
            <w:tcW w:type="dxa" w:w="2300"/>
          </w:tcPr>
          <w:p>
            <w:pPr>
              <w:spacing w:before="0" w:after="0" w:line="240" w:lineRule="auto"/>
            </w:pPr>
            <w:r>
              <w:rPr>
                <w:sz w:val="24"/>
              </w:rPr>
              <w:t xml:space="preserve">Ingrid Michaelson;ZAYN</w:t>
            </w:r>
          </w:p>
        </w:tc>
        <w:tc>
          <w:tcPr>
            <w:tcW w:type="dxa" w:w="1900"/>
          </w:tcPr>
          <w:p>
            <w:pPr>
              <w:spacing w:before="0" w:after="0" w:line="240" w:lineRule="auto"/>
            </w:pPr>
            <w:r>
              <w:rPr>
                <w:sz w:val="24"/>
              </w:rPr>
              <w:t xml:space="preserve">To Begin Again</w:t>
            </w:r>
          </w:p>
        </w:tc>
        <w:tc>
          <w:tcPr>
            <w:tcW w:type="dxa" w:w="1750"/>
          </w:tcPr>
          <w:p>
            <w:pPr>
              <w:spacing w:before="0" w:after="0" w:line="240" w:lineRule="auto"/>
            </w:pPr>
            <w:r>
              <w:rPr>
                <w:sz w:val="24"/>
              </w:rPr>
              <w:t xml:space="preserve">57</w:t>
            </w:r>
          </w:p>
        </w:tc>
        <w:tc>
          <w:tcPr>
            <w:tcW w:type="dxa" w:w="1700"/>
          </w:tcPr>
          <w:p>
            <w:pPr>
              <w:spacing w:before="0" w:after="0" w:line="240" w:lineRule="auto"/>
            </w:pPr>
            <w:r>
              <w:rPr>
                <w:sz w:val="24"/>
              </w:rPr>
              <w:t xml:space="preserve">0.438</w:t>
            </w:r>
          </w:p>
        </w:tc>
        <w:tc>
          <w:tcPr>
            <w:tcW w:type="dxa" w:w="1500"/>
          </w:tcPr>
          <w:p>
            <w:pPr>
              <w:spacing w:before="0" w:after="0" w:line="240" w:lineRule="auto"/>
            </w:pPr>
            <w:r>
              <w:rPr>
                <w:sz w:val="24"/>
              </w:rPr>
              <w:t xml:space="preserve">acoustic</w:t>
            </w:r>
          </w:p>
        </w:tc>
      </w:tr>
    </w:tbl>
    <w:p>
      <w:pPr>
        <w:keepNext/>
        <w:spacing w:before="120" w:after="60" w:line="240" w:lineRule="auto"/>
      </w:pPr>
      <w:r>
        <w:rPr>
          <w:b/>
          <w:sz w:val="24"/>
        </w:rPr>
        <w:t>Dataset 4: TMDB movie metadata (6 of 24 columns)</w:t>
      </w:r>
    </w:p>
    <w:tbl>
      <w:tblPr>
        <w:tblStyle w:val="TableGrid"/>
        <w:tblW w:type="dxa" w:w="9360"/>
        <w:jc w:val="center"/>
        <w:tblLayout w:type="fixed"/>
        <w:tblLook w:firstColumn="1" w:firstRow="1" w:lastColumn="0" w:lastRow="0" w:noHBand="0" w:noVBand="1" w:val="04A0"/>
      </w:tblPr>
      <w:tblGrid>
        <w:gridCol w:w="1450"/>
        <w:gridCol w:w="1500"/>
        <w:gridCol w:w="1550"/>
        <w:gridCol w:w="1500"/>
        <w:gridCol w:w="1700"/>
        <w:gridCol w:w="1660"/>
      </w:tblGrid>
      <w:tr>
        <w:trPr>
          <w:cantSplit/>
        </w:trPr>
        <w:tc>
          <w:tcPr>
            <w:tcW w:type="dxa" w:w="1450"/>
          </w:tcPr>
          <w:p>
            <w:pPr>
              <w:spacing w:before="0" w:after="0" w:line="240" w:lineRule="auto"/>
            </w:pPr>
            <w:r>
              <w:rPr>
                <w:b/>
                <w:sz w:val="24"/>
              </w:rPr>
              <w:t xml:space="preserve">budget</w:t>
            </w:r>
          </w:p>
        </w:tc>
        <w:tc>
          <w:tcPr>
            <w:tcW w:type="dxa" w:w="1500"/>
          </w:tcPr>
          <w:p>
            <w:pPr>
              <w:spacing w:before="0" w:after="0" w:line="240" w:lineRule="auto"/>
            </w:pPr>
            <w:r>
              <w:rPr>
                <w:b/>
                <w:sz w:val="24"/>
              </w:rPr>
              <w:t xml:space="preserve">release_date</w:t>
            </w:r>
          </w:p>
        </w:tc>
        <w:tc>
          <w:tcPr>
            <w:tcW w:type="dxa" w:w="1550"/>
          </w:tcPr>
          <w:p>
            <w:pPr>
              <w:spacing w:before="0" w:after="0" w:line="240" w:lineRule="auto"/>
            </w:pPr>
            <w:r>
              <w:rPr>
                <w:b/>
                <w:sz w:val="24"/>
              </w:rPr>
              <w:t xml:space="preserve">revenue</w:t>
            </w:r>
          </w:p>
        </w:tc>
        <w:tc>
          <w:tcPr>
            <w:tcW w:type="dxa" w:w="1500"/>
          </w:tcPr>
          <w:p>
            <w:pPr>
              <w:spacing w:before="0" w:after="0" w:line="240" w:lineRule="auto"/>
            </w:pPr>
            <w:r>
              <w:rPr>
                <w:b/>
                <w:sz w:val="24"/>
              </w:rPr>
              <w:t xml:space="preserve">title</w:t>
            </w:r>
          </w:p>
        </w:tc>
        <w:tc>
          <w:tcPr>
            <w:tcW w:type="dxa" w:w="1700"/>
          </w:tcPr>
          <w:p>
            <w:pPr>
              <w:spacing w:before="0" w:after="0" w:line="240" w:lineRule="auto"/>
            </w:pPr>
            <w:r>
              <w:rPr>
                <w:b/>
                <w:sz w:val="24"/>
              </w:rPr>
              <w:t xml:space="preserve">vote_average</w:t>
            </w:r>
          </w:p>
        </w:tc>
        <w:tc>
          <w:tcPr>
            <w:tcW w:type="dxa" w:w="1660"/>
          </w:tcPr>
          <w:p>
            <w:pPr>
              <w:spacing w:before="0" w:after="0" w:line="240" w:lineRule="auto"/>
            </w:pPr>
            <w:r>
              <w:rPr>
                <w:b/>
                <w:sz w:val="24"/>
              </w:rPr>
              <w:t xml:space="preserve">vote_count</w:t>
            </w:r>
          </w:p>
        </w:tc>
      </w:tr>
      <w:tr>
        <w:trPr>
          <w:cantSplit/>
        </w:trPr>
        <w:tc>
          <w:tcPr>
            <w:tcW w:type="dxa" w:w="1450"/>
          </w:tcPr>
          <w:p>
            <w:pPr>
              <w:spacing w:before="0" w:after="0" w:line="240" w:lineRule="auto"/>
            </w:pPr>
            <w:r>
              <w:rPr>
                <w:sz w:val="24"/>
              </w:rPr>
              <w:t xml:space="preserve">30000000</w:t>
            </w:r>
          </w:p>
        </w:tc>
        <w:tc>
          <w:tcPr>
            <w:tcW w:type="dxa" w:w="1500"/>
          </w:tcPr>
          <w:p>
            <w:pPr>
              <w:spacing w:before="0" w:after="0" w:line="240" w:lineRule="auto"/>
            </w:pPr>
            <w:r>
              <w:rPr>
                <w:sz w:val="24"/>
              </w:rPr>
              <w:t xml:space="preserve">1995-10-30</w:t>
            </w:r>
          </w:p>
        </w:tc>
        <w:tc>
          <w:tcPr>
            <w:tcW w:type="dxa" w:w="1550"/>
          </w:tcPr>
          <w:p>
            <w:pPr>
              <w:spacing w:before="0" w:after="0" w:line="240" w:lineRule="auto"/>
            </w:pPr>
            <w:r>
              <w:rPr>
                <w:sz w:val="24"/>
              </w:rPr>
              <w:t xml:space="preserve">373554033</w:t>
            </w:r>
          </w:p>
        </w:tc>
        <w:tc>
          <w:tcPr>
            <w:tcW w:type="dxa" w:w="1500"/>
          </w:tcPr>
          <w:p>
            <w:pPr>
              <w:spacing w:before="0" w:after="0" w:line="240" w:lineRule="auto"/>
            </w:pPr>
            <w:r>
              <w:rPr>
                <w:sz w:val="24"/>
              </w:rPr>
              <w:t xml:space="preserve">Toy Story</w:t>
            </w:r>
          </w:p>
        </w:tc>
        <w:tc>
          <w:tcPr>
            <w:tcW w:type="dxa" w:w="1700"/>
          </w:tcPr>
          <w:p>
            <w:pPr>
              <w:spacing w:before="0" w:after="0" w:line="240" w:lineRule="auto"/>
            </w:pPr>
            <w:r>
              <w:rPr>
                <w:sz w:val="24"/>
              </w:rPr>
              <w:t xml:space="preserve">7.7</w:t>
            </w:r>
          </w:p>
        </w:tc>
        <w:tc>
          <w:tcPr>
            <w:tcW w:type="dxa" w:w="1660"/>
          </w:tcPr>
          <w:p>
            <w:pPr>
              <w:spacing w:before="0" w:after="0" w:line="240" w:lineRule="auto"/>
            </w:pPr>
            <w:r>
              <w:rPr>
                <w:sz w:val="24"/>
              </w:rPr>
              <w:t xml:space="preserve">5415</w:t>
            </w:r>
          </w:p>
        </w:tc>
      </w:tr>
      <w:tr>
        <w:trPr>
          <w:cantSplit/>
        </w:trPr>
        <w:tc>
          <w:tcPr>
            <w:tcW w:type="dxa" w:w="1450"/>
          </w:tcPr>
          <w:p>
            <w:pPr>
              <w:spacing w:before="0" w:after="0" w:line="240" w:lineRule="auto"/>
            </w:pPr>
            <w:r>
              <w:rPr>
                <w:sz w:val="24"/>
              </w:rPr>
              <w:t xml:space="preserve">65000000</w:t>
            </w:r>
          </w:p>
        </w:tc>
        <w:tc>
          <w:tcPr>
            <w:tcW w:type="dxa" w:w="1500"/>
          </w:tcPr>
          <w:p>
            <w:pPr>
              <w:spacing w:before="0" w:after="0" w:line="240" w:lineRule="auto"/>
            </w:pPr>
            <w:r>
              <w:rPr>
                <w:sz w:val="24"/>
              </w:rPr>
              <w:t xml:space="preserve">1995-12-15</w:t>
            </w:r>
          </w:p>
        </w:tc>
        <w:tc>
          <w:tcPr>
            <w:tcW w:type="dxa" w:w="1550"/>
          </w:tcPr>
          <w:p>
            <w:pPr>
              <w:spacing w:before="0" w:after="0" w:line="240" w:lineRule="auto"/>
            </w:pPr>
            <w:r>
              <w:rPr>
                <w:sz w:val="24"/>
              </w:rPr>
              <w:t xml:space="preserve">262797249</w:t>
            </w:r>
          </w:p>
        </w:tc>
        <w:tc>
          <w:tcPr>
            <w:tcW w:type="dxa" w:w="1500"/>
          </w:tcPr>
          <w:p>
            <w:pPr>
              <w:spacing w:before="0" w:after="0" w:line="240" w:lineRule="auto"/>
            </w:pPr>
            <w:r>
              <w:rPr>
                <w:sz w:val="24"/>
              </w:rPr>
              <w:t xml:space="preserve">Jumanji</w:t>
            </w:r>
          </w:p>
        </w:tc>
        <w:tc>
          <w:tcPr>
            <w:tcW w:type="dxa" w:w="1700"/>
          </w:tcPr>
          <w:p>
            <w:pPr>
              <w:spacing w:before="0" w:after="0" w:line="240" w:lineRule="auto"/>
            </w:pPr>
            <w:r>
              <w:rPr>
                <w:sz w:val="24"/>
              </w:rPr>
              <w:t xml:space="preserve">6.9</w:t>
            </w:r>
          </w:p>
        </w:tc>
        <w:tc>
          <w:tcPr>
            <w:tcW w:type="dxa" w:w="1660"/>
          </w:tcPr>
          <w:p>
            <w:pPr>
              <w:spacing w:before="0" w:after="0" w:line="240" w:lineRule="auto"/>
            </w:pPr>
            <w:r>
              <w:rPr>
                <w:sz w:val="24"/>
              </w:rPr>
              <w:t xml:space="preserve">2413</w:t>
            </w:r>
          </w:p>
        </w:tc>
      </w:tr>
      <w:tr>
        <w:trPr>
          <w:cantSplit/>
        </w:trPr>
        <w:tc>
          <w:tcPr>
            <w:tcW w:type="dxa" w:w="1450"/>
          </w:tcPr>
          <w:p>
            <w:pPr>
              <w:spacing w:before="0" w:after="0" w:line="240" w:lineRule="auto"/>
            </w:pPr>
            <w:r>
              <w:rPr>
                <w:sz w:val="24"/>
              </w:rPr>
              <w:t xml:space="preserve">0</w:t>
            </w:r>
          </w:p>
        </w:tc>
        <w:tc>
          <w:tcPr>
            <w:tcW w:type="dxa" w:w="1500"/>
          </w:tcPr>
          <w:p>
            <w:pPr>
              <w:spacing w:before="0" w:after="0" w:line="240" w:lineRule="auto"/>
            </w:pPr>
            <w:r>
              <w:rPr>
                <w:sz w:val="24"/>
              </w:rPr>
              <w:t xml:space="preserve">1995-12-22</w:t>
            </w:r>
          </w:p>
        </w:tc>
        <w:tc>
          <w:tcPr>
            <w:tcW w:type="dxa" w:w="1550"/>
          </w:tcPr>
          <w:p>
            <w:pPr>
              <w:spacing w:before="0" w:after="0" w:line="240" w:lineRule="auto"/>
            </w:pPr>
            <w:r>
              <w:rPr>
                <w:sz w:val="24"/>
              </w:rPr>
              <w:t xml:space="preserve">0</w:t>
            </w:r>
          </w:p>
        </w:tc>
        <w:tc>
          <w:tcPr>
            <w:tcW w:type="dxa" w:w="1500"/>
          </w:tcPr>
          <w:p>
            <w:pPr>
              <w:spacing w:before="0" w:after="0" w:line="240" w:lineRule="auto"/>
            </w:pPr>
            <w:r>
              <w:rPr>
                <w:sz w:val="24"/>
              </w:rPr>
              <w:t xml:space="preserve">Grumpier Old Men</w:t>
            </w:r>
          </w:p>
        </w:tc>
        <w:tc>
          <w:tcPr>
            <w:tcW w:type="dxa" w:w="1700"/>
          </w:tcPr>
          <w:p>
            <w:pPr>
              <w:spacing w:before="0" w:after="0" w:line="240" w:lineRule="auto"/>
            </w:pPr>
            <w:r>
              <w:rPr>
                <w:sz w:val="24"/>
              </w:rPr>
              <w:t xml:space="preserve">6.5</w:t>
            </w:r>
          </w:p>
        </w:tc>
        <w:tc>
          <w:tcPr>
            <w:tcW w:type="dxa" w:w="1660"/>
          </w:tcPr>
          <w:p>
            <w:pPr>
              <w:spacing w:before="0" w:after="0" w:line="240" w:lineRule="auto"/>
            </w:pPr>
            <w:r>
              <w:rPr>
                <w:sz w:val="24"/>
              </w:rPr>
              <w:t xml:space="preserve">92</w:t>
            </w:r>
          </w:p>
        </w:tc>
      </w:tr>
    </w:tbl>
    <w:p>
      <w:pPr>
        <w:keepNext/>
        <w:spacing w:before="120" w:after="60" w:line="240" w:lineRule="auto"/>
      </w:pPr>
      <w:r>
        <w:rPr>
          <w:b/>
          <w:sz w:val="24"/>
        </w:rPr>
        <w:t>Dataset 5: FINRA equity short interest, S&amp;P 500 (6 of 12 columns)</w:t>
      </w:r>
    </w:p>
    <w:tbl>
      <w:tblPr>
        <w:tblStyle w:val="TableGrid"/>
        <w:tblW w:type="dxa" w:w="9360"/>
        <w:jc w:val="center"/>
        <w:tblLayout w:type="fixed"/>
        <w:tblLook w:firstColumn="1" w:firstRow="1" w:lastColumn="0" w:lastRow="0" w:noHBand="0" w:noVBand="1" w:val="04A0"/>
      </w:tblPr>
      <w:tblGrid>
        <w:gridCol w:w="1900"/>
        <w:gridCol w:w="1250"/>
        <w:gridCol w:w="1650"/>
        <w:gridCol w:w="1650"/>
        <w:gridCol w:w="1550"/>
        <w:gridCol w:w="1360"/>
      </w:tblGrid>
      <w:tr>
        <w:trPr>
          <w:cantSplit/>
        </w:trPr>
        <w:tc>
          <w:tcPr>
            <w:tcW w:type="dxa" w:w="1900"/>
          </w:tcPr>
          <w:p>
            <w:pPr>
              <w:spacing w:before="0" w:after="0" w:line="240" w:lineRule="auto"/>
            </w:pPr>
            <w:r>
              <w:rPr>
                <w:b/>
                <w:sz w:val="24"/>
              </w:rPr>
              <w:t xml:space="preserve">settlement_date</w:t>
            </w:r>
          </w:p>
        </w:tc>
        <w:tc>
          <w:tcPr>
            <w:tcW w:type="dxa" w:w="1250"/>
          </w:tcPr>
          <w:p>
            <w:pPr>
              <w:spacing w:before="0" w:after="0" w:line="240" w:lineRule="auto"/>
            </w:pPr>
            <w:r>
              <w:rPr>
                <w:b/>
                <w:sz w:val="24"/>
              </w:rPr>
              <w:t xml:space="preserve">symbol</w:t>
            </w:r>
          </w:p>
        </w:tc>
        <w:tc>
          <w:tcPr>
            <w:tcW w:type="dxa" w:w="1650"/>
          </w:tcPr>
          <w:p>
            <w:pPr>
              <w:spacing w:before="0" w:after="0" w:line="240" w:lineRule="auto"/>
            </w:pPr>
            <w:r>
              <w:rPr>
                <w:b/>
                <w:sz w:val="24"/>
              </w:rPr>
              <w:t xml:space="preserve">current_short_shares</w:t>
            </w:r>
          </w:p>
        </w:tc>
        <w:tc>
          <w:tcPr>
            <w:tcW w:type="dxa" w:w="1650"/>
          </w:tcPr>
          <w:p>
            <w:pPr>
              <w:spacing w:before="0" w:after="0" w:line="240" w:lineRule="auto"/>
            </w:pPr>
            <w:r>
              <w:rPr>
                <w:b/>
                <w:sz w:val="24"/>
              </w:rPr>
              <w:t xml:space="preserve">previous_short_shares</w:t>
            </w:r>
          </w:p>
        </w:tc>
        <w:tc>
          <w:tcPr>
            <w:tcW w:type="dxa" w:w="1550"/>
          </w:tcPr>
          <w:p>
            <w:pPr>
              <w:spacing w:before="0" w:after="0" w:line="240" w:lineRule="auto"/>
            </w:pPr>
            <w:r>
              <w:rPr>
                <w:b/>
                <w:sz w:val="24"/>
              </w:rPr>
              <w:t xml:space="preserve">short_change_pct</w:t>
            </w:r>
          </w:p>
        </w:tc>
        <w:tc>
          <w:tcPr>
            <w:tcW w:type="dxa" w:w="1360"/>
          </w:tcPr>
          <w:p>
            <w:pPr>
              <w:spacing w:before="0" w:after="0" w:line="240" w:lineRule="auto"/>
            </w:pPr>
            <w:r>
              <w:rPr>
                <w:b/>
                <w:sz w:val="24"/>
              </w:rPr>
              <w:t xml:space="preserve">days_to_cover</w:t>
            </w:r>
          </w:p>
        </w:tc>
      </w:tr>
      <w:tr>
        <w:trPr>
          <w:cantSplit/>
        </w:trPr>
        <w:tc>
          <w:tcPr>
            <w:tcW w:type="dxa" w:w="1900"/>
          </w:tcPr>
          <w:p>
            <w:pPr>
              <w:spacing w:before="0" w:after="0" w:line="240" w:lineRule="auto"/>
            </w:pPr>
            <w:r>
              <w:rPr>
                <w:sz w:val="24"/>
              </w:rPr>
              <w:t xml:space="preserve">2023-01-13</w:t>
            </w:r>
          </w:p>
        </w:tc>
        <w:tc>
          <w:tcPr>
            <w:tcW w:type="dxa" w:w="1250"/>
          </w:tcPr>
          <w:p>
            <w:pPr>
              <w:spacing w:before="0" w:after="0" w:line="240" w:lineRule="auto"/>
            </w:pPr>
            <w:r>
              <w:rPr>
                <w:sz w:val="24"/>
              </w:rPr>
              <w:t xml:space="preserve">A</w:t>
            </w:r>
          </w:p>
        </w:tc>
        <w:tc>
          <w:tcPr>
            <w:tcW w:type="dxa" w:w="1650"/>
          </w:tcPr>
          <w:p>
            <w:pPr>
              <w:spacing w:before="0" w:after="0" w:line="240" w:lineRule="auto"/>
            </w:pPr>
            <w:r>
              <w:rPr>
                <w:sz w:val="24"/>
              </w:rPr>
              <w:t xml:space="preserve">3,367,567</w:t>
            </w:r>
          </w:p>
        </w:tc>
        <w:tc>
          <w:tcPr>
            <w:tcW w:type="dxa" w:w="1650"/>
          </w:tcPr>
          <w:p>
            <w:pPr>
              <w:spacing w:before="0" w:after="0" w:line="240" w:lineRule="auto"/>
            </w:pPr>
            <w:r>
              <w:rPr>
                <w:sz w:val="24"/>
              </w:rPr>
              <w:t xml:space="preserve">3,272,951</w:t>
            </w:r>
          </w:p>
        </w:tc>
        <w:tc>
          <w:tcPr>
            <w:tcW w:type="dxa" w:w="1550"/>
          </w:tcPr>
          <w:p>
            <w:pPr>
              <w:spacing w:before="0" w:after="0" w:line="240" w:lineRule="auto"/>
            </w:pPr>
            <w:r>
              <w:rPr>
                <w:sz w:val="24"/>
              </w:rPr>
              <w:t xml:space="preserve">2.89</w:t>
            </w:r>
          </w:p>
        </w:tc>
        <w:tc>
          <w:tcPr>
            <w:tcW w:type="dxa" w:w="1360"/>
          </w:tcPr>
          <w:p>
            <w:pPr>
              <w:spacing w:before="0" w:after="0" w:line="240" w:lineRule="auto"/>
            </w:pPr>
            <w:r>
              <w:rPr>
                <w:sz w:val="24"/>
              </w:rPr>
              <w:t xml:space="preserve">2.40</w:t>
            </w:r>
          </w:p>
        </w:tc>
      </w:tr>
      <w:tr>
        <w:trPr>
          <w:cantSplit/>
        </w:trPr>
        <w:tc>
          <w:tcPr>
            <w:tcW w:type="dxa" w:w="1900"/>
          </w:tcPr>
          <w:p>
            <w:pPr>
              <w:spacing w:before="0" w:after="0" w:line="240" w:lineRule="auto"/>
            </w:pPr>
            <w:r>
              <w:rPr>
                <w:sz w:val="24"/>
              </w:rPr>
              <w:t xml:space="preserve">2023-01-13</w:t>
            </w:r>
          </w:p>
        </w:tc>
        <w:tc>
          <w:tcPr>
            <w:tcW w:type="dxa" w:w="1250"/>
          </w:tcPr>
          <w:p>
            <w:pPr>
              <w:spacing w:before="0" w:after="0" w:line="240" w:lineRule="auto"/>
            </w:pPr>
            <w:r>
              <w:rPr>
                <w:sz w:val="24"/>
              </w:rPr>
              <w:t xml:space="preserve">AAPL</w:t>
            </w:r>
          </w:p>
        </w:tc>
        <w:tc>
          <w:tcPr>
            <w:tcW w:type="dxa" w:w="1650"/>
          </w:tcPr>
          <w:p>
            <w:pPr>
              <w:spacing w:before="0" w:after="0" w:line="240" w:lineRule="auto"/>
            </w:pPr>
            <w:r>
              <w:rPr>
                <w:sz w:val="24"/>
              </w:rPr>
              <w:t xml:space="preserve">121,868,919</w:t>
            </w:r>
          </w:p>
        </w:tc>
        <w:tc>
          <w:tcPr>
            <w:tcW w:type="dxa" w:w="1650"/>
          </w:tcPr>
          <w:p>
            <w:pPr>
              <w:spacing w:before="0" w:after="0" w:line="240" w:lineRule="auto"/>
            </w:pPr>
            <w:r>
              <w:rPr>
                <w:sz w:val="24"/>
              </w:rPr>
              <w:t xml:space="preserve">124,024,570</w:t>
            </w:r>
          </w:p>
        </w:tc>
        <w:tc>
          <w:tcPr>
            <w:tcW w:type="dxa" w:w="1550"/>
          </w:tcPr>
          <w:p>
            <w:pPr>
              <w:spacing w:before="0" w:after="0" w:line="240" w:lineRule="auto"/>
            </w:pPr>
            <w:r>
              <w:rPr>
                <w:sz w:val="24"/>
              </w:rPr>
              <w:t xml:space="preserve">-1.74</w:t>
            </w:r>
          </w:p>
        </w:tc>
        <w:tc>
          <w:tcPr>
            <w:tcW w:type="dxa" w:w="1360"/>
          </w:tcPr>
          <w:p>
            <w:pPr>
              <w:spacing w:before="0" w:after="0" w:line="240" w:lineRule="auto"/>
            </w:pPr>
            <w:r>
              <w:rPr>
                <w:sz w:val="24"/>
              </w:rPr>
              <w:t xml:space="preserve">1.56</w:t>
            </w:r>
          </w:p>
        </w:tc>
      </w:tr>
      <w:tr>
        <w:trPr>
          <w:cantSplit/>
        </w:trPr>
        <w:tc>
          <w:tcPr>
            <w:tcW w:type="dxa" w:w="1900"/>
          </w:tcPr>
          <w:p>
            <w:pPr>
              <w:spacing w:before="0" w:after="0" w:line="240" w:lineRule="auto"/>
            </w:pPr>
            <w:r>
              <w:rPr>
                <w:sz w:val="24"/>
              </w:rPr>
              <w:t xml:space="preserve">2023-01-13</w:t>
            </w:r>
          </w:p>
        </w:tc>
        <w:tc>
          <w:tcPr>
            <w:tcW w:type="dxa" w:w="1250"/>
          </w:tcPr>
          <w:p>
            <w:pPr>
              <w:spacing w:before="0" w:after="0" w:line="240" w:lineRule="auto"/>
            </w:pPr>
            <w:r>
              <w:rPr>
                <w:sz w:val="24"/>
              </w:rPr>
              <w:t xml:space="preserve">ABBV</w:t>
            </w:r>
          </w:p>
        </w:tc>
        <w:tc>
          <w:tcPr>
            <w:tcW w:type="dxa" w:w="1650"/>
          </w:tcPr>
          <w:p>
            <w:pPr>
              <w:spacing w:before="0" w:after="0" w:line="240" w:lineRule="auto"/>
            </w:pPr>
            <w:r>
              <w:rPr>
                <w:sz w:val="24"/>
              </w:rPr>
              <w:t xml:space="preserve">11,961,136</w:t>
            </w:r>
          </w:p>
        </w:tc>
        <w:tc>
          <w:tcPr>
            <w:tcW w:type="dxa" w:w="1650"/>
          </w:tcPr>
          <w:p>
            <w:pPr>
              <w:spacing w:before="0" w:after="0" w:line="240" w:lineRule="auto"/>
            </w:pPr>
            <w:r>
              <w:rPr>
                <w:sz w:val="24"/>
              </w:rPr>
              <w:t xml:space="preserve">12,927,640</w:t>
            </w:r>
          </w:p>
        </w:tc>
        <w:tc>
          <w:tcPr>
            <w:tcW w:type="dxa" w:w="1550"/>
          </w:tcPr>
          <w:p>
            <w:pPr>
              <w:spacing w:before="0" w:after="0" w:line="240" w:lineRule="auto"/>
            </w:pPr>
            <w:r>
              <w:rPr>
                <w:sz w:val="24"/>
              </w:rPr>
              <w:t xml:space="preserve">-7.48</w:t>
            </w:r>
          </w:p>
        </w:tc>
        <w:tc>
          <w:tcPr>
            <w:tcW w:type="dxa" w:w="1360"/>
          </w:tcPr>
          <w:p>
            <w:pPr>
              <w:spacing w:before="0" w:after="0" w:line="240" w:lineRule="auto"/>
            </w:pPr>
            <w:r>
              <w:rPr>
                <w:sz w:val="24"/>
              </w:rPr>
              <w:t xml:space="preserve">2.03</w:t>
            </w:r>
          </w:p>
        </w:tc>
      </w:tr>
    </w:tbl>
    <w:p>
      <w:pPr>
        <w:spacing w:before="0" w:after="0" w:line="20" w:lineRule="exact"/>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563C1"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lambdaclass/options_portfolio_backtester/releases/" TargetMode="External"/><Relationship Id="rId10" Type="http://schemas.openxmlformats.org/officeDocument/2006/relationships/hyperlink" Target="https://www.kaggle.com/datasets/felixzhao/china-automobile-monthly-sales-data-2018-2024-4" TargetMode="External"/><Relationship Id="rId11" Type="http://schemas.openxmlformats.org/officeDocument/2006/relationships/hyperlink" Target="https://www.kaggle.com/datasets/zaheenhamidani/ultimate-spotify-tracks-db" TargetMode="External"/><Relationship Id="rId12" Type="http://schemas.openxmlformats.org/officeDocument/2006/relationships/hyperlink" Target="https://www.kaggle.com/datasets/rounakbanik/the-movies-dataset" TargetMode="External"/><Relationship Id="rId13" Type="http://schemas.openxmlformats.org/officeDocument/2006/relationships/hyperlink" Target="https://www.finra.org/finra-data/browse-catalog/equity-short-inter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