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708FF" w:rsidRDefault="00E31DE8">
      <w:pPr>
        <w:jc w:val="center"/>
      </w:pPr>
      <w:r>
        <w:rPr>
          <w:b/>
          <w:sz w:val="32"/>
        </w:rPr>
        <w:t>Capstone Development Reflection Journal</w:t>
      </w:r>
    </w:p>
    <w:p w:rsidR="00D708FF" w:rsidRDefault="00E31DE8">
      <w:pPr>
        <w:jc w:val="center"/>
      </w:pPr>
      <w:r>
        <w:rPr>
          <w:sz w:val="26"/>
        </w:rPr>
        <w:t>Module B: AI for Leaders</w:t>
      </w:r>
    </w:p>
    <w:p w:rsidR="00D708FF" w:rsidRDefault="00E31DE8">
      <w:pPr>
        <w:jc w:val="center"/>
      </w:pPr>
      <w:r>
        <w:t>Ka Tsun Hui</w:t>
      </w:r>
    </w:p>
    <w:p w:rsidR="00D708FF" w:rsidRDefault="00E31DE8">
      <w:pPr>
        <w:jc w:val="center"/>
      </w:pPr>
      <w:r>
        <w:t>Weeks 2–6  ·  artifacts included</w:t>
      </w:r>
    </w:p>
    <w:p w:rsidR="00D708FF" w:rsidRDefault="00E31DE8">
      <w:pPr>
        <w:spacing w:before="240"/>
      </w:pPr>
      <w:r>
        <w:rPr>
          <w:b/>
        </w:rPr>
        <w:t>Week 2</w:t>
      </w:r>
    </w:p>
    <w:p w:rsidR="00D708FF" w:rsidRDefault="00E31DE8">
      <w:r>
        <w:rPr>
          <w:b/>
        </w:rPr>
        <w:t xml:space="preserve">Assignment/Capstone work: </w:t>
      </w:r>
      <w:r>
        <w:t>I picked three industries: finance, environment, and entertainment. I am a valuation specialist at a hedge fund in Hong Kong, and valuing derivatives is my job and the subject I care about most. Environment is in because the EV transition is the industrial change that has mattered most in my lifetime. Entertainment is music and film, which I know as a consumer.</w:t>
      </w:r>
    </w:p>
    <w:p w:rsidR="00D708FF" w:rsidRDefault="00E31DE8">
      <w:r>
        <w:rPr>
          <w:b/>
        </w:rPr>
        <w:t xml:space="preserve">Artifact (required): </w:t>
      </w:r>
      <w:r>
        <w:t>three industries, two public datasets each.</w:t>
      </w:r>
    </w:p>
    <w:tbl>
      <w:tblPr>
        <w:tblStyle w:val="TableGrid"/>
        <w:tblW w:w="0" w:type="auto"/>
        <w:tblLook w:val="04A0" w:firstRow="1" w:lastRow="0" w:firstColumn="1" w:lastColumn="0" w:noHBand="0" w:noVBand="1"/>
      </w:tblPr>
      <w:tblGrid>
        <w:gridCol w:w="3120"/>
        <w:gridCol w:w="3120"/>
        <w:gridCol w:w="3120"/>
      </w:tblGrid>
      <w:tr w:rsidR="00D708FF">
        <w:tc>
          <w:tcPr>
            <w:tcW w:w="3120" w:type="dxa"/>
          </w:tcPr>
          <w:p w:rsidR="00D708FF" w:rsidRDefault="00E31DE8">
            <w:pPr>
              <w:spacing w:line="240" w:lineRule="auto"/>
            </w:pPr>
            <w:r>
              <w:rPr>
                <w:b/>
                <w:sz w:val="20"/>
              </w:rPr>
              <w:t>Industry</w:t>
            </w:r>
          </w:p>
        </w:tc>
        <w:tc>
          <w:tcPr>
            <w:tcW w:w="3120" w:type="dxa"/>
          </w:tcPr>
          <w:p w:rsidR="00D708FF" w:rsidRDefault="00E31DE8">
            <w:pPr>
              <w:spacing w:line="240" w:lineRule="auto"/>
            </w:pPr>
            <w:r>
              <w:rPr>
                <w:b/>
                <w:sz w:val="20"/>
              </w:rPr>
              <w:t>Dataset A</w:t>
            </w:r>
          </w:p>
        </w:tc>
        <w:tc>
          <w:tcPr>
            <w:tcW w:w="3120" w:type="dxa"/>
          </w:tcPr>
          <w:p w:rsidR="00D708FF" w:rsidRDefault="00E31DE8">
            <w:pPr>
              <w:spacing w:line="240" w:lineRule="auto"/>
            </w:pPr>
            <w:r>
              <w:rPr>
                <w:b/>
                <w:sz w:val="20"/>
              </w:rPr>
              <w:t>Dataset B</w:t>
            </w:r>
          </w:p>
        </w:tc>
      </w:tr>
      <w:tr w:rsidR="00D708FF">
        <w:tc>
          <w:tcPr>
            <w:tcW w:w="3120" w:type="dxa"/>
          </w:tcPr>
          <w:p w:rsidR="00D708FF" w:rsidRDefault="00E31DE8">
            <w:pPr>
              <w:spacing w:line="240" w:lineRule="auto"/>
            </w:pPr>
            <w:r>
              <w:rPr>
                <w:sz w:val="20"/>
              </w:rPr>
              <w:t>Finance</w:t>
            </w:r>
          </w:p>
        </w:tc>
        <w:tc>
          <w:tcPr>
            <w:tcW w:w="3120" w:type="dxa"/>
          </w:tcPr>
          <w:p w:rsidR="00D708FF" w:rsidRDefault="00E31DE8">
            <w:pPr>
              <w:spacing w:line="240" w:lineRule="auto"/>
            </w:pPr>
            <w:r>
              <w:rPr>
                <w:sz w:val="20"/>
              </w:rPr>
              <w:t>Historic options (Dubach): SPY/IWM/QQQ chains, 2008–2025</w:t>
            </w:r>
          </w:p>
        </w:tc>
        <w:tc>
          <w:tcPr>
            <w:tcW w:w="3120" w:type="dxa"/>
          </w:tcPr>
          <w:p w:rsidR="00D708FF" w:rsidRDefault="00E31DE8">
            <w:pPr>
              <w:spacing w:line="240" w:lineRule="auto"/>
            </w:pPr>
            <w:r>
              <w:rPr>
                <w:sz w:val="20"/>
              </w:rPr>
              <w:t>FINRA equity short interest (biweekly files)</w:t>
            </w:r>
          </w:p>
        </w:tc>
      </w:tr>
      <w:tr w:rsidR="00D708FF">
        <w:tc>
          <w:tcPr>
            <w:tcW w:w="3120" w:type="dxa"/>
          </w:tcPr>
          <w:p w:rsidR="00D708FF" w:rsidRDefault="00E31DE8">
            <w:pPr>
              <w:spacing w:line="240" w:lineRule="auto"/>
            </w:pPr>
            <w:r>
              <w:rPr>
                <w:sz w:val="20"/>
              </w:rPr>
              <w:t>Environment</w:t>
            </w:r>
          </w:p>
        </w:tc>
        <w:tc>
          <w:tcPr>
            <w:tcW w:w="3120" w:type="dxa"/>
          </w:tcPr>
          <w:p w:rsidR="00D708FF" w:rsidRDefault="00E31DE8">
            <w:pPr>
              <w:spacing w:line="240" w:lineRule="auto"/>
            </w:pPr>
            <w:r>
              <w:rPr>
                <w:sz w:val="20"/>
              </w:rPr>
              <w:t>CPCA China passenger-vehicle sales, Jan 2018–Apr 2024 (Kaggle / felixzhao)</w:t>
            </w:r>
          </w:p>
        </w:tc>
        <w:tc>
          <w:tcPr>
            <w:tcW w:w="3120" w:type="dxa"/>
          </w:tcPr>
          <w:p w:rsidR="00D708FF" w:rsidRDefault="00E31DE8">
            <w:pPr>
              <w:spacing w:line="240" w:lineRule="auto"/>
            </w:pPr>
            <w:r>
              <w:rPr>
                <w:sz w:val="20"/>
              </w:rPr>
              <w:t>National CO2 panel (later dropped; too far from a decision I would own)</w:t>
            </w:r>
          </w:p>
        </w:tc>
      </w:tr>
      <w:tr w:rsidR="00D708FF">
        <w:tc>
          <w:tcPr>
            <w:tcW w:w="3120" w:type="dxa"/>
          </w:tcPr>
          <w:p w:rsidR="00D708FF" w:rsidRDefault="00E31DE8">
            <w:pPr>
              <w:spacing w:line="240" w:lineRule="auto"/>
            </w:pPr>
            <w:r>
              <w:rPr>
                <w:sz w:val="20"/>
              </w:rPr>
              <w:t>Entertainment</w:t>
            </w:r>
          </w:p>
        </w:tc>
        <w:tc>
          <w:tcPr>
            <w:tcW w:w="3120" w:type="dxa"/>
          </w:tcPr>
          <w:p w:rsidR="00D708FF" w:rsidRDefault="00E31DE8">
            <w:pPr>
              <w:spacing w:line="240" w:lineRule="auto"/>
            </w:pPr>
            <w:r>
              <w:rPr>
                <w:sz w:val="20"/>
              </w:rPr>
              <w:t>Ultimate Spotify Tracks DB (Hamidani, Kaggle)</w:t>
            </w:r>
          </w:p>
        </w:tc>
        <w:tc>
          <w:tcPr>
            <w:tcW w:w="3120" w:type="dxa"/>
          </w:tcPr>
          <w:p w:rsidR="00D708FF" w:rsidRDefault="00E31DE8">
            <w:pPr>
              <w:spacing w:line="240" w:lineRule="auto"/>
            </w:pPr>
            <w:r>
              <w:rPr>
                <w:sz w:val="20"/>
              </w:rPr>
              <w:t>The Movies Dataset (Banik, 2017, Kaggle / TMDB)</w:t>
            </w:r>
          </w:p>
        </w:tc>
      </w:tr>
    </w:tbl>
    <w:p w:rsidR="00D708FF" w:rsidRDefault="00D708FF"/>
    <w:p w:rsidR="00D708FF" w:rsidRDefault="00E31DE8">
      <w:r>
        <w:rPr>
          <w:b/>
        </w:rPr>
        <w:t xml:space="preserve">Reflection: </w:t>
      </w:r>
      <w:r>
        <w:t>Narrowing to three industries was the first decision I had to make. I wanted the most technically impressive datasets. Choosing industries first changed the question: which problems would I still care about after the grade is posted? Markets, the energy transition, and culture.</w:t>
      </w:r>
    </w:p>
    <w:p w:rsidR="00D708FF" w:rsidRDefault="00E31DE8">
      <w:pPr>
        <w:spacing w:before="240"/>
      </w:pPr>
      <w:r>
        <w:rPr>
          <w:b/>
        </w:rPr>
        <w:t>Week 3</w:t>
      </w:r>
    </w:p>
    <w:p w:rsidR="00D708FF" w:rsidRDefault="00E31DE8">
      <w:r>
        <w:rPr>
          <w:b/>
        </w:rPr>
        <w:t xml:space="preserve">Assignment/Capstone work: </w:t>
      </w:r>
      <w:r>
        <w:t>I extracted the first data: the SPY options snapshot for 31 December 2024 (9,646 contracts, 23 columns) and the CPCA China auto file (38,806 model-</w:t>
      </w:r>
      <w:r>
        <w:lastRenderedPageBreak/>
        <w:t>month rows). Problems spotted immediately: 625 zero-bid option contracts (dead quotes), duplicate model-month rows, and “NA” strings in the body-type column.</w:t>
      </w:r>
    </w:p>
    <w:p w:rsidR="00D708FF" w:rsidRDefault="00E31DE8">
      <w:r>
        <w:rPr>
          <w:b/>
        </w:rPr>
        <w:t xml:space="preserve">Artifact (required): </w:t>
      </w:r>
      <w:r>
        <w:t>sample rows from each of the five datasets that ended up in Milestone One, with a one-line description. Full column lists are in the paper.</w:t>
      </w:r>
    </w:p>
    <w:p w:rsidR="00D708FF" w:rsidRDefault="00E31DE8">
      <w:r>
        <w:t>Dataset 1 — SPY options, 31 Dec 2024. One listed contract. Near-the-money sample (the file’s first rows are deep in-the-money expiries).</w:t>
      </w:r>
    </w:p>
    <w:tbl>
      <w:tblPr>
        <w:tblStyle w:val="TableGrid"/>
        <w:tblW w:w="0" w:type="auto"/>
        <w:tblLook w:val="04A0" w:firstRow="1" w:lastRow="0" w:firstColumn="1" w:lastColumn="0" w:noHBand="0" w:noVBand="1"/>
      </w:tblPr>
      <w:tblGrid>
        <w:gridCol w:w="2117"/>
        <w:gridCol w:w="1865"/>
        <w:gridCol w:w="1864"/>
        <w:gridCol w:w="1865"/>
        <w:gridCol w:w="1865"/>
      </w:tblGrid>
      <w:tr w:rsidR="00D708FF">
        <w:tc>
          <w:tcPr>
            <w:tcW w:w="1872" w:type="dxa"/>
          </w:tcPr>
          <w:p w:rsidR="00D708FF" w:rsidRDefault="00E31DE8">
            <w:pPr>
              <w:spacing w:line="240" w:lineRule="auto"/>
            </w:pPr>
            <w:r>
              <w:rPr>
                <w:b/>
                <w:sz w:val="20"/>
              </w:rPr>
              <w:t>contract_id</w:t>
            </w:r>
          </w:p>
        </w:tc>
        <w:tc>
          <w:tcPr>
            <w:tcW w:w="1872" w:type="dxa"/>
          </w:tcPr>
          <w:p w:rsidR="00D708FF" w:rsidRDefault="00E31DE8">
            <w:pPr>
              <w:spacing w:line="240" w:lineRule="auto"/>
            </w:pPr>
            <w:r>
              <w:rPr>
                <w:b/>
                <w:sz w:val="20"/>
              </w:rPr>
              <w:t>strike</w:t>
            </w:r>
          </w:p>
        </w:tc>
        <w:tc>
          <w:tcPr>
            <w:tcW w:w="1872" w:type="dxa"/>
          </w:tcPr>
          <w:p w:rsidR="00D708FF" w:rsidRDefault="00E31DE8">
            <w:pPr>
              <w:spacing w:line="240" w:lineRule="auto"/>
            </w:pPr>
            <w:r>
              <w:rPr>
                <w:b/>
                <w:sz w:val="20"/>
              </w:rPr>
              <w:t>type</w:t>
            </w:r>
          </w:p>
        </w:tc>
        <w:tc>
          <w:tcPr>
            <w:tcW w:w="1872" w:type="dxa"/>
          </w:tcPr>
          <w:p w:rsidR="00D708FF" w:rsidRDefault="00E31DE8">
            <w:pPr>
              <w:spacing w:line="240" w:lineRule="auto"/>
            </w:pPr>
            <w:r>
              <w:rPr>
                <w:b/>
                <w:sz w:val="20"/>
              </w:rPr>
              <w:t>last</w:t>
            </w:r>
          </w:p>
        </w:tc>
        <w:tc>
          <w:tcPr>
            <w:tcW w:w="1872" w:type="dxa"/>
          </w:tcPr>
          <w:p w:rsidR="00D708FF" w:rsidRDefault="00E31DE8">
            <w:pPr>
              <w:spacing w:line="240" w:lineRule="auto"/>
            </w:pPr>
            <w:r>
              <w:rPr>
                <w:b/>
                <w:sz w:val="20"/>
              </w:rPr>
              <w:t>IV</w:t>
            </w:r>
          </w:p>
        </w:tc>
      </w:tr>
      <w:tr w:rsidR="00D708FF">
        <w:tc>
          <w:tcPr>
            <w:tcW w:w="1872" w:type="dxa"/>
          </w:tcPr>
          <w:p w:rsidR="00D708FF" w:rsidRDefault="00E31DE8">
            <w:pPr>
              <w:spacing w:line="240" w:lineRule="auto"/>
            </w:pPr>
            <w:r>
              <w:rPr>
                <w:sz w:val="20"/>
              </w:rPr>
              <w:t>SPY250207C00594000</w:t>
            </w:r>
          </w:p>
        </w:tc>
        <w:tc>
          <w:tcPr>
            <w:tcW w:w="1872" w:type="dxa"/>
          </w:tcPr>
          <w:p w:rsidR="00D708FF" w:rsidRDefault="00E31DE8">
            <w:pPr>
              <w:spacing w:line="240" w:lineRule="auto"/>
            </w:pPr>
            <w:r>
              <w:rPr>
                <w:sz w:val="20"/>
              </w:rPr>
              <w:t>594</w:t>
            </w:r>
          </w:p>
        </w:tc>
        <w:tc>
          <w:tcPr>
            <w:tcW w:w="1872" w:type="dxa"/>
          </w:tcPr>
          <w:p w:rsidR="00D708FF" w:rsidRDefault="00E31DE8">
            <w:pPr>
              <w:spacing w:line="240" w:lineRule="auto"/>
            </w:pPr>
            <w:r>
              <w:rPr>
                <w:sz w:val="20"/>
              </w:rPr>
              <w:t>call</w:t>
            </w:r>
          </w:p>
        </w:tc>
        <w:tc>
          <w:tcPr>
            <w:tcW w:w="1872" w:type="dxa"/>
          </w:tcPr>
          <w:p w:rsidR="00D708FF" w:rsidRDefault="00E31DE8">
            <w:pPr>
              <w:spacing w:line="240" w:lineRule="auto"/>
            </w:pPr>
            <w:r>
              <w:rPr>
                <w:sz w:val="20"/>
              </w:rPr>
              <w:t>7.80</w:t>
            </w:r>
          </w:p>
        </w:tc>
        <w:tc>
          <w:tcPr>
            <w:tcW w:w="1872" w:type="dxa"/>
          </w:tcPr>
          <w:p w:rsidR="00D708FF" w:rsidRDefault="00E31DE8">
            <w:pPr>
              <w:spacing w:line="240" w:lineRule="auto"/>
            </w:pPr>
            <w:r>
              <w:rPr>
                <w:sz w:val="20"/>
              </w:rPr>
              <w:t>0.132</w:t>
            </w:r>
          </w:p>
        </w:tc>
      </w:tr>
      <w:tr w:rsidR="00D708FF">
        <w:tc>
          <w:tcPr>
            <w:tcW w:w="1872" w:type="dxa"/>
          </w:tcPr>
          <w:p w:rsidR="00D708FF" w:rsidRDefault="00E31DE8">
            <w:pPr>
              <w:spacing w:line="240" w:lineRule="auto"/>
            </w:pPr>
            <w:r>
              <w:rPr>
                <w:sz w:val="20"/>
              </w:rPr>
              <w:t>SPY250207P00594000</w:t>
            </w:r>
          </w:p>
        </w:tc>
        <w:tc>
          <w:tcPr>
            <w:tcW w:w="1872" w:type="dxa"/>
          </w:tcPr>
          <w:p w:rsidR="00D708FF" w:rsidRDefault="00E31DE8">
            <w:pPr>
              <w:spacing w:line="240" w:lineRule="auto"/>
            </w:pPr>
            <w:r>
              <w:rPr>
                <w:sz w:val="20"/>
              </w:rPr>
              <w:t>594</w:t>
            </w:r>
          </w:p>
        </w:tc>
        <w:tc>
          <w:tcPr>
            <w:tcW w:w="1872" w:type="dxa"/>
          </w:tcPr>
          <w:p w:rsidR="00D708FF" w:rsidRDefault="00E31DE8">
            <w:pPr>
              <w:spacing w:line="240" w:lineRule="auto"/>
            </w:pPr>
            <w:r>
              <w:rPr>
                <w:sz w:val="20"/>
              </w:rPr>
              <w:t>put</w:t>
            </w:r>
          </w:p>
        </w:tc>
        <w:tc>
          <w:tcPr>
            <w:tcW w:w="1872" w:type="dxa"/>
          </w:tcPr>
          <w:p w:rsidR="00D708FF" w:rsidRDefault="00E31DE8">
            <w:pPr>
              <w:spacing w:line="240" w:lineRule="auto"/>
            </w:pPr>
            <w:r>
              <w:rPr>
                <w:sz w:val="20"/>
              </w:rPr>
              <w:t>12.94</w:t>
            </w:r>
          </w:p>
        </w:tc>
        <w:tc>
          <w:tcPr>
            <w:tcW w:w="1872" w:type="dxa"/>
          </w:tcPr>
          <w:p w:rsidR="00D708FF" w:rsidRDefault="00E31DE8">
            <w:pPr>
              <w:spacing w:line="240" w:lineRule="auto"/>
            </w:pPr>
            <w:r>
              <w:rPr>
                <w:sz w:val="20"/>
              </w:rPr>
              <w:t>0.142</w:t>
            </w:r>
          </w:p>
        </w:tc>
      </w:tr>
      <w:tr w:rsidR="00D708FF">
        <w:tc>
          <w:tcPr>
            <w:tcW w:w="1872" w:type="dxa"/>
          </w:tcPr>
          <w:p w:rsidR="00D708FF" w:rsidRDefault="00E31DE8">
            <w:pPr>
              <w:spacing w:line="240" w:lineRule="auto"/>
            </w:pPr>
            <w:r>
              <w:rPr>
                <w:sz w:val="20"/>
              </w:rPr>
              <w:t>SPY250207C00595000</w:t>
            </w:r>
          </w:p>
        </w:tc>
        <w:tc>
          <w:tcPr>
            <w:tcW w:w="1872" w:type="dxa"/>
          </w:tcPr>
          <w:p w:rsidR="00D708FF" w:rsidRDefault="00E31DE8">
            <w:pPr>
              <w:spacing w:line="240" w:lineRule="auto"/>
            </w:pPr>
            <w:r>
              <w:rPr>
                <w:sz w:val="20"/>
              </w:rPr>
              <w:t>595</w:t>
            </w:r>
          </w:p>
        </w:tc>
        <w:tc>
          <w:tcPr>
            <w:tcW w:w="1872" w:type="dxa"/>
          </w:tcPr>
          <w:p w:rsidR="00D708FF" w:rsidRDefault="00E31DE8">
            <w:pPr>
              <w:spacing w:line="240" w:lineRule="auto"/>
            </w:pPr>
            <w:r>
              <w:rPr>
                <w:sz w:val="20"/>
              </w:rPr>
              <w:t>call</w:t>
            </w:r>
          </w:p>
        </w:tc>
        <w:tc>
          <w:tcPr>
            <w:tcW w:w="1872" w:type="dxa"/>
          </w:tcPr>
          <w:p w:rsidR="00D708FF" w:rsidRDefault="00E31DE8">
            <w:pPr>
              <w:spacing w:line="240" w:lineRule="auto"/>
            </w:pPr>
            <w:r>
              <w:rPr>
                <w:sz w:val="20"/>
              </w:rPr>
              <w:t>7.39</w:t>
            </w:r>
          </w:p>
        </w:tc>
        <w:tc>
          <w:tcPr>
            <w:tcW w:w="1872" w:type="dxa"/>
          </w:tcPr>
          <w:p w:rsidR="00D708FF" w:rsidRDefault="00E31DE8">
            <w:pPr>
              <w:spacing w:line="240" w:lineRule="auto"/>
            </w:pPr>
            <w:r>
              <w:rPr>
                <w:sz w:val="20"/>
              </w:rPr>
              <w:t>0.132</w:t>
            </w:r>
          </w:p>
        </w:tc>
      </w:tr>
    </w:tbl>
    <w:p w:rsidR="00D708FF" w:rsidRDefault="00D708FF"/>
    <w:p w:rsidR="00D708FF" w:rsidRDefault="00E31DE8">
      <w:r>
        <w:t>Dataset 2 — CPCA China passenger-vehicle sales. One model in one month.</w:t>
      </w:r>
    </w:p>
    <w:tbl>
      <w:tblPr>
        <w:tblStyle w:val="TableGrid"/>
        <w:tblW w:w="0" w:type="auto"/>
        <w:tblLook w:val="04A0" w:firstRow="1" w:lastRow="0" w:firstColumn="1" w:lastColumn="0" w:noHBand="0" w:noVBand="1"/>
      </w:tblPr>
      <w:tblGrid>
        <w:gridCol w:w="1872"/>
        <w:gridCol w:w="1872"/>
        <w:gridCol w:w="1872"/>
        <w:gridCol w:w="1872"/>
        <w:gridCol w:w="1872"/>
      </w:tblGrid>
      <w:tr w:rsidR="00D708FF">
        <w:tc>
          <w:tcPr>
            <w:tcW w:w="1872" w:type="dxa"/>
          </w:tcPr>
          <w:p w:rsidR="00D708FF" w:rsidRDefault="00E31DE8">
            <w:pPr>
              <w:spacing w:line="240" w:lineRule="auto"/>
            </w:pPr>
            <w:r>
              <w:rPr>
                <w:b/>
                <w:sz w:val="20"/>
              </w:rPr>
              <w:t>year_month</w:t>
            </w:r>
          </w:p>
        </w:tc>
        <w:tc>
          <w:tcPr>
            <w:tcW w:w="1872" w:type="dxa"/>
          </w:tcPr>
          <w:p w:rsidR="00D708FF" w:rsidRDefault="00E31DE8">
            <w:pPr>
              <w:spacing w:line="240" w:lineRule="auto"/>
            </w:pPr>
            <w:r>
              <w:rPr>
                <w:b/>
                <w:sz w:val="20"/>
              </w:rPr>
              <w:t>brand</w:t>
            </w:r>
          </w:p>
        </w:tc>
        <w:tc>
          <w:tcPr>
            <w:tcW w:w="1872" w:type="dxa"/>
          </w:tcPr>
          <w:p w:rsidR="00D708FF" w:rsidRDefault="00E31DE8">
            <w:pPr>
              <w:spacing w:line="240" w:lineRule="auto"/>
            </w:pPr>
            <w:r>
              <w:rPr>
                <w:b/>
                <w:sz w:val="20"/>
              </w:rPr>
              <w:t>model</w:t>
            </w:r>
          </w:p>
        </w:tc>
        <w:tc>
          <w:tcPr>
            <w:tcW w:w="1872" w:type="dxa"/>
          </w:tcPr>
          <w:p w:rsidR="00D708FF" w:rsidRDefault="00E31DE8">
            <w:pPr>
              <w:spacing w:line="240" w:lineRule="auto"/>
            </w:pPr>
            <w:r>
              <w:rPr>
                <w:b/>
                <w:sz w:val="20"/>
              </w:rPr>
              <w:t>units</w:t>
            </w:r>
          </w:p>
        </w:tc>
        <w:tc>
          <w:tcPr>
            <w:tcW w:w="1872" w:type="dxa"/>
          </w:tcPr>
          <w:p w:rsidR="00D708FF" w:rsidRDefault="00E31DE8">
            <w:pPr>
              <w:spacing w:line="240" w:lineRule="auto"/>
            </w:pPr>
            <w:r>
              <w:rPr>
                <w:b/>
                <w:sz w:val="20"/>
              </w:rPr>
              <w:t>is_ev</w:t>
            </w:r>
          </w:p>
        </w:tc>
      </w:tr>
      <w:tr w:rsidR="00D708FF">
        <w:tc>
          <w:tcPr>
            <w:tcW w:w="1872" w:type="dxa"/>
          </w:tcPr>
          <w:p w:rsidR="00D708FF" w:rsidRDefault="00E31DE8">
            <w:pPr>
              <w:spacing w:line="240" w:lineRule="auto"/>
            </w:pPr>
            <w:r>
              <w:rPr>
                <w:sz w:val="20"/>
              </w:rPr>
              <w:t>2022-11</w:t>
            </w:r>
          </w:p>
        </w:tc>
        <w:tc>
          <w:tcPr>
            <w:tcW w:w="1872" w:type="dxa"/>
          </w:tcPr>
          <w:p w:rsidR="00D708FF" w:rsidRDefault="00E31DE8">
            <w:pPr>
              <w:spacing w:line="240" w:lineRule="auto"/>
            </w:pPr>
            <w:r>
              <w:rPr>
                <w:sz w:val="20"/>
              </w:rPr>
              <w:t>Tesla</w:t>
            </w:r>
          </w:p>
        </w:tc>
        <w:tc>
          <w:tcPr>
            <w:tcW w:w="1872" w:type="dxa"/>
          </w:tcPr>
          <w:p w:rsidR="00D708FF" w:rsidRDefault="00E31DE8">
            <w:pPr>
              <w:spacing w:line="240" w:lineRule="auto"/>
            </w:pPr>
            <w:r>
              <w:rPr>
                <w:sz w:val="20"/>
              </w:rPr>
              <w:t>Model Y</w:t>
            </w:r>
          </w:p>
        </w:tc>
        <w:tc>
          <w:tcPr>
            <w:tcW w:w="1872" w:type="dxa"/>
          </w:tcPr>
          <w:p w:rsidR="00D708FF" w:rsidRDefault="00E31DE8">
            <w:pPr>
              <w:spacing w:line="240" w:lineRule="auto"/>
            </w:pPr>
            <w:r>
              <w:rPr>
                <w:sz w:val="20"/>
              </w:rPr>
              <w:t>69,098</w:t>
            </w:r>
          </w:p>
        </w:tc>
        <w:tc>
          <w:tcPr>
            <w:tcW w:w="1872" w:type="dxa"/>
          </w:tcPr>
          <w:p w:rsidR="00D708FF" w:rsidRDefault="00E31DE8">
            <w:pPr>
              <w:spacing w:line="240" w:lineRule="auto"/>
            </w:pPr>
            <w:r>
              <w:rPr>
                <w:sz w:val="20"/>
              </w:rPr>
              <w:t>EV</w:t>
            </w:r>
          </w:p>
        </w:tc>
      </w:tr>
      <w:tr w:rsidR="00D708FF">
        <w:tc>
          <w:tcPr>
            <w:tcW w:w="1872" w:type="dxa"/>
          </w:tcPr>
          <w:p w:rsidR="00D708FF" w:rsidRDefault="00E31DE8">
            <w:pPr>
              <w:spacing w:line="240" w:lineRule="auto"/>
            </w:pPr>
            <w:r>
              <w:rPr>
                <w:sz w:val="20"/>
              </w:rPr>
              <w:t>2022-11</w:t>
            </w:r>
          </w:p>
        </w:tc>
        <w:tc>
          <w:tcPr>
            <w:tcW w:w="1872" w:type="dxa"/>
          </w:tcPr>
          <w:p w:rsidR="00D708FF" w:rsidRDefault="00E31DE8">
            <w:pPr>
              <w:spacing w:line="240" w:lineRule="auto"/>
            </w:pPr>
            <w:r>
              <w:rPr>
                <w:sz w:val="20"/>
              </w:rPr>
              <w:t>Wuling</w:t>
            </w:r>
          </w:p>
        </w:tc>
        <w:tc>
          <w:tcPr>
            <w:tcW w:w="1872" w:type="dxa"/>
          </w:tcPr>
          <w:p w:rsidR="00D708FF" w:rsidRDefault="00E31DE8">
            <w:pPr>
              <w:spacing w:line="240" w:lineRule="auto"/>
            </w:pPr>
            <w:r>
              <w:rPr>
                <w:sz w:val="20"/>
              </w:rPr>
              <w:t>Hongguang MINIEV</w:t>
            </w:r>
          </w:p>
        </w:tc>
        <w:tc>
          <w:tcPr>
            <w:tcW w:w="1872" w:type="dxa"/>
          </w:tcPr>
          <w:p w:rsidR="00D708FF" w:rsidRDefault="00E31DE8">
            <w:pPr>
              <w:spacing w:line="240" w:lineRule="auto"/>
            </w:pPr>
            <w:r>
              <w:rPr>
                <w:sz w:val="20"/>
              </w:rPr>
              <w:t>68,567</w:t>
            </w:r>
          </w:p>
        </w:tc>
        <w:tc>
          <w:tcPr>
            <w:tcW w:w="1872" w:type="dxa"/>
          </w:tcPr>
          <w:p w:rsidR="00D708FF" w:rsidRDefault="00E31DE8">
            <w:pPr>
              <w:spacing w:line="240" w:lineRule="auto"/>
            </w:pPr>
            <w:r>
              <w:rPr>
                <w:sz w:val="20"/>
              </w:rPr>
              <w:t>EV</w:t>
            </w:r>
          </w:p>
        </w:tc>
      </w:tr>
      <w:tr w:rsidR="00D708FF">
        <w:tc>
          <w:tcPr>
            <w:tcW w:w="1872" w:type="dxa"/>
          </w:tcPr>
          <w:p w:rsidR="00D708FF" w:rsidRDefault="00E31DE8">
            <w:pPr>
              <w:spacing w:line="240" w:lineRule="auto"/>
            </w:pPr>
            <w:r>
              <w:rPr>
                <w:sz w:val="20"/>
              </w:rPr>
              <w:t>2022-11</w:t>
            </w:r>
          </w:p>
        </w:tc>
        <w:tc>
          <w:tcPr>
            <w:tcW w:w="1872" w:type="dxa"/>
          </w:tcPr>
          <w:p w:rsidR="00D708FF" w:rsidRDefault="00E31DE8">
            <w:pPr>
              <w:spacing w:line="240" w:lineRule="auto"/>
            </w:pPr>
            <w:r>
              <w:rPr>
                <w:sz w:val="20"/>
              </w:rPr>
              <w:t>BYD</w:t>
            </w:r>
          </w:p>
        </w:tc>
        <w:tc>
          <w:tcPr>
            <w:tcW w:w="1872" w:type="dxa"/>
          </w:tcPr>
          <w:p w:rsidR="00D708FF" w:rsidRDefault="00E31DE8">
            <w:pPr>
              <w:spacing w:line="240" w:lineRule="auto"/>
            </w:pPr>
            <w:r>
              <w:rPr>
                <w:sz w:val="20"/>
              </w:rPr>
              <w:t>Song PLUS</w:t>
            </w:r>
          </w:p>
        </w:tc>
        <w:tc>
          <w:tcPr>
            <w:tcW w:w="1872" w:type="dxa"/>
          </w:tcPr>
          <w:p w:rsidR="00D708FF" w:rsidRDefault="00E31DE8">
            <w:pPr>
              <w:spacing w:line="240" w:lineRule="auto"/>
            </w:pPr>
            <w:r>
              <w:rPr>
                <w:sz w:val="20"/>
              </w:rPr>
              <w:t>64,145</w:t>
            </w:r>
          </w:p>
        </w:tc>
        <w:tc>
          <w:tcPr>
            <w:tcW w:w="1872" w:type="dxa"/>
          </w:tcPr>
          <w:p w:rsidR="00D708FF" w:rsidRDefault="00E31DE8">
            <w:pPr>
              <w:spacing w:line="240" w:lineRule="auto"/>
            </w:pPr>
            <w:r>
              <w:rPr>
                <w:sz w:val="20"/>
              </w:rPr>
              <w:t>EV</w:t>
            </w:r>
          </w:p>
        </w:tc>
      </w:tr>
    </w:tbl>
    <w:p w:rsidR="00D708FF" w:rsidRDefault="00D708FF"/>
    <w:p w:rsidR="00D708FF" w:rsidRDefault="00E31DE8">
      <w:r>
        <w:t>Dataset 3 — Spotify tracks. One track, audio features plus genre.</w:t>
      </w:r>
    </w:p>
    <w:tbl>
      <w:tblPr>
        <w:tblStyle w:val="TableGrid"/>
        <w:tblW w:w="0" w:type="auto"/>
        <w:tblLook w:val="04A0" w:firstRow="1" w:lastRow="0" w:firstColumn="1" w:lastColumn="0" w:noHBand="0" w:noVBand="1"/>
      </w:tblPr>
      <w:tblGrid>
        <w:gridCol w:w="1872"/>
        <w:gridCol w:w="1872"/>
        <w:gridCol w:w="1872"/>
        <w:gridCol w:w="1872"/>
        <w:gridCol w:w="1872"/>
      </w:tblGrid>
      <w:tr w:rsidR="00D708FF">
        <w:tc>
          <w:tcPr>
            <w:tcW w:w="1872" w:type="dxa"/>
          </w:tcPr>
          <w:p w:rsidR="00D708FF" w:rsidRDefault="00E31DE8">
            <w:pPr>
              <w:spacing w:line="240" w:lineRule="auto"/>
            </w:pPr>
            <w:r>
              <w:rPr>
                <w:b/>
                <w:sz w:val="20"/>
              </w:rPr>
              <w:t>artists</w:t>
            </w:r>
          </w:p>
        </w:tc>
        <w:tc>
          <w:tcPr>
            <w:tcW w:w="1872" w:type="dxa"/>
          </w:tcPr>
          <w:p w:rsidR="00D708FF" w:rsidRDefault="00E31DE8">
            <w:pPr>
              <w:spacing w:line="240" w:lineRule="auto"/>
            </w:pPr>
            <w:r>
              <w:rPr>
                <w:b/>
                <w:sz w:val="20"/>
              </w:rPr>
              <w:t>track</w:t>
            </w:r>
          </w:p>
        </w:tc>
        <w:tc>
          <w:tcPr>
            <w:tcW w:w="1872" w:type="dxa"/>
          </w:tcPr>
          <w:p w:rsidR="00D708FF" w:rsidRDefault="00E31DE8">
            <w:pPr>
              <w:spacing w:line="240" w:lineRule="auto"/>
            </w:pPr>
            <w:r>
              <w:rPr>
                <w:b/>
                <w:sz w:val="20"/>
              </w:rPr>
              <w:t>popularity</w:t>
            </w:r>
          </w:p>
        </w:tc>
        <w:tc>
          <w:tcPr>
            <w:tcW w:w="1872" w:type="dxa"/>
          </w:tcPr>
          <w:p w:rsidR="00D708FF" w:rsidRDefault="00E31DE8">
            <w:pPr>
              <w:spacing w:line="240" w:lineRule="auto"/>
            </w:pPr>
            <w:r>
              <w:rPr>
                <w:b/>
                <w:sz w:val="20"/>
              </w:rPr>
              <w:t>danceability</w:t>
            </w:r>
          </w:p>
        </w:tc>
        <w:tc>
          <w:tcPr>
            <w:tcW w:w="1872" w:type="dxa"/>
          </w:tcPr>
          <w:p w:rsidR="00D708FF" w:rsidRDefault="00E31DE8">
            <w:pPr>
              <w:spacing w:line="240" w:lineRule="auto"/>
            </w:pPr>
            <w:r>
              <w:rPr>
                <w:b/>
                <w:sz w:val="20"/>
              </w:rPr>
              <w:t>genre</w:t>
            </w:r>
          </w:p>
        </w:tc>
      </w:tr>
      <w:tr w:rsidR="00D708FF">
        <w:tc>
          <w:tcPr>
            <w:tcW w:w="1872" w:type="dxa"/>
          </w:tcPr>
          <w:p w:rsidR="00D708FF" w:rsidRDefault="00E31DE8">
            <w:pPr>
              <w:spacing w:line="240" w:lineRule="auto"/>
            </w:pPr>
            <w:r>
              <w:rPr>
                <w:sz w:val="20"/>
              </w:rPr>
              <w:t>Gen Hoshino</w:t>
            </w:r>
          </w:p>
        </w:tc>
        <w:tc>
          <w:tcPr>
            <w:tcW w:w="1872" w:type="dxa"/>
          </w:tcPr>
          <w:p w:rsidR="00D708FF" w:rsidRDefault="00E31DE8">
            <w:pPr>
              <w:spacing w:line="240" w:lineRule="auto"/>
            </w:pPr>
            <w:r>
              <w:rPr>
                <w:sz w:val="20"/>
              </w:rPr>
              <w:t>Comedy</w:t>
            </w:r>
          </w:p>
        </w:tc>
        <w:tc>
          <w:tcPr>
            <w:tcW w:w="1872" w:type="dxa"/>
          </w:tcPr>
          <w:p w:rsidR="00D708FF" w:rsidRDefault="00E31DE8">
            <w:pPr>
              <w:spacing w:line="240" w:lineRule="auto"/>
            </w:pPr>
            <w:r>
              <w:rPr>
                <w:sz w:val="20"/>
              </w:rPr>
              <w:t>73</w:t>
            </w:r>
          </w:p>
        </w:tc>
        <w:tc>
          <w:tcPr>
            <w:tcW w:w="1872" w:type="dxa"/>
          </w:tcPr>
          <w:p w:rsidR="00D708FF" w:rsidRDefault="00E31DE8">
            <w:pPr>
              <w:spacing w:line="240" w:lineRule="auto"/>
            </w:pPr>
            <w:r>
              <w:rPr>
                <w:sz w:val="20"/>
              </w:rPr>
              <w:t>0.676</w:t>
            </w:r>
          </w:p>
        </w:tc>
        <w:tc>
          <w:tcPr>
            <w:tcW w:w="1872" w:type="dxa"/>
          </w:tcPr>
          <w:p w:rsidR="00D708FF" w:rsidRDefault="00E31DE8">
            <w:pPr>
              <w:spacing w:line="240" w:lineRule="auto"/>
            </w:pPr>
            <w:r>
              <w:rPr>
                <w:sz w:val="20"/>
              </w:rPr>
              <w:t>acoustic</w:t>
            </w:r>
          </w:p>
        </w:tc>
      </w:tr>
      <w:tr w:rsidR="00D708FF">
        <w:tc>
          <w:tcPr>
            <w:tcW w:w="1872" w:type="dxa"/>
          </w:tcPr>
          <w:p w:rsidR="00D708FF" w:rsidRDefault="00E31DE8">
            <w:pPr>
              <w:spacing w:line="240" w:lineRule="auto"/>
            </w:pPr>
            <w:r>
              <w:rPr>
                <w:sz w:val="20"/>
              </w:rPr>
              <w:t>Ben Woodward</w:t>
            </w:r>
          </w:p>
        </w:tc>
        <w:tc>
          <w:tcPr>
            <w:tcW w:w="1872" w:type="dxa"/>
          </w:tcPr>
          <w:p w:rsidR="00D708FF" w:rsidRDefault="00E31DE8">
            <w:pPr>
              <w:spacing w:line="240" w:lineRule="auto"/>
            </w:pPr>
            <w:r>
              <w:rPr>
                <w:sz w:val="20"/>
              </w:rPr>
              <w:t>Ghost - Acoustic</w:t>
            </w:r>
          </w:p>
        </w:tc>
        <w:tc>
          <w:tcPr>
            <w:tcW w:w="1872" w:type="dxa"/>
          </w:tcPr>
          <w:p w:rsidR="00D708FF" w:rsidRDefault="00E31DE8">
            <w:pPr>
              <w:spacing w:line="240" w:lineRule="auto"/>
            </w:pPr>
            <w:r>
              <w:rPr>
                <w:sz w:val="20"/>
              </w:rPr>
              <w:t>55</w:t>
            </w:r>
          </w:p>
        </w:tc>
        <w:tc>
          <w:tcPr>
            <w:tcW w:w="1872" w:type="dxa"/>
          </w:tcPr>
          <w:p w:rsidR="00D708FF" w:rsidRDefault="00E31DE8">
            <w:pPr>
              <w:spacing w:line="240" w:lineRule="auto"/>
            </w:pPr>
            <w:r>
              <w:rPr>
                <w:sz w:val="20"/>
              </w:rPr>
              <w:t>0.42</w:t>
            </w:r>
          </w:p>
        </w:tc>
        <w:tc>
          <w:tcPr>
            <w:tcW w:w="1872" w:type="dxa"/>
          </w:tcPr>
          <w:p w:rsidR="00D708FF" w:rsidRDefault="00E31DE8">
            <w:pPr>
              <w:spacing w:line="240" w:lineRule="auto"/>
            </w:pPr>
            <w:r>
              <w:rPr>
                <w:sz w:val="20"/>
              </w:rPr>
              <w:t>acoustic</w:t>
            </w:r>
          </w:p>
        </w:tc>
      </w:tr>
      <w:tr w:rsidR="00D708FF">
        <w:tc>
          <w:tcPr>
            <w:tcW w:w="1872" w:type="dxa"/>
          </w:tcPr>
          <w:p w:rsidR="00D708FF" w:rsidRDefault="00E31DE8">
            <w:pPr>
              <w:spacing w:line="240" w:lineRule="auto"/>
            </w:pPr>
            <w:r>
              <w:rPr>
                <w:sz w:val="20"/>
              </w:rPr>
              <w:t>Ingrid Michaelson;ZAYN</w:t>
            </w:r>
          </w:p>
        </w:tc>
        <w:tc>
          <w:tcPr>
            <w:tcW w:w="1872" w:type="dxa"/>
          </w:tcPr>
          <w:p w:rsidR="00D708FF" w:rsidRDefault="00E31DE8">
            <w:pPr>
              <w:spacing w:line="240" w:lineRule="auto"/>
            </w:pPr>
            <w:r>
              <w:rPr>
                <w:sz w:val="20"/>
              </w:rPr>
              <w:t>To Begin Again</w:t>
            </w:r>
          </w:p>
        </w:tc>
        <w:tc>
          <w:tcPr>
            <w:tcW w:w="1872" w:type="dxa"/>
          </w:tcPr>
          <w:p w:rsidR="00D708FF" w:rsidRDefault="00E31DE8">
            <w:pPr>
              <w:spacing w:line="240" w:lineRule="auto"/>
            </w:pPr>
            <w:r>
              <w:rPr>
                <w:sz w:val="20"/>
              </w:rPr>
              <w:t>57</w:t>
            </w:r>
          </w:p>
        </w:tc>
        <w:tc>
          <w:tcPr>
            <w:tcW w:w="1872" w:type="dxa"/>
          </w:tcPr>
          <w:p w:rsidR="00D708FF" w:rsidRDefault="00E31DE8">
            <w:pPr>
              <w:spacing w:line="240" w:lineRule="auto"/>
            </w:pPr>
            <w:r>
              <w:rPr>
                <w:sz w:val="20"/>
              </w:rPr>
              <w:t>0.438</w:t>
            </w:r>
          </w:p>
        </w:tc>
        <w:tc>
          <w:tcPr>
            <w:tcW w:w="1872" w:type="dxa"/>
          </w:tcPr>
          <w:p w:rsidR="00D708FF" w:rsidRDefault="00E31DE8">
            <w:pPr>
              <w:spacing w:line="240" w:lineRule="auto"/>
            </w:pPr>
            <w:r>
              <w:rPr>
                <w:sz w:val="20"/>
              </w:rPr>
              <w:t>acoustic</w:t>
            </w:r>
          </w:p>
        </w:tc>
      </w:tr>
    </w:tbl>
    <w:p w:rsidR="00D708FF" w:rsidRDefault="00D708FF"/>
    <w:p w:rsidR="00D708FF" w:rsidRDefault="00E31DE8">
      <w:r>
        <w:t>Dataset 4 — TMDB movies. One film. Grumpier Old Men shows a zero budget that is missing data, not a free film.</w:t>
      </w:r>
    </w:p>
    <w:tbl>
      <w:tblPr>
        <w:tblStyle w:val="TableGrid"/>
        <w:tblW w:w="0" w:type="auto"/>
        <w:tblLook w:val="04A0" w:firstRow="1" w:lastRow="0" w:firstColumn="1" w:lastColumn="0" w:noHBand="0" w:noVBand="1"/>
      </w:tblPr>
      <w:tblGrid>
        <w:gridCol w:w="1872"/>
        <w:gridCol w:w="1872"/>
        <w:gridCol w:w="1872"/>
        <w:gridCol w:w="1872"/>
        <w:gridCol w:w="1872"/>
      </w:tblGrid>
      <w:tr w:rsidR="00D708FF">
        <w:tc>
          <w:tcPr>
            <w:tcW w:w="1872" w:type="dxa"/>
          </w:tcPr>
          <w:p w:rsidR="00D708FF" w:rsidRDefault="00E31DE8">
            <w:pPr>
              <w:spacing w:line="240" w:lineRule="auto"/>
            </w:pPr>
            <w:r>
              <w:rPr>
                <w:b/>
                <w:sz w:val="20"/>
              </w:rPr>
              <w:t>title</w:t>
            </w:r>
          </w:p>
        </w:tc>
        <w:tc>
          <w:tcPr>
            <w:tcW w:w="1872" w:type="dxa"/>
          </w:tcPr>
          <w:p w:rsidR="00D708FF" w:rsidRDefault="00E31DE8">
            <w:pPr>
              <w:spacing w:line="240" w:lineRule="auto"/>
            </w:pPr>
            <w:r>
              <w:rPr>
                <w:b/>
                <w:sz w:val="20"/>
              </w:rPr>
              <w:t>release</w:t>
            </w:r>
          </w:p>
        </w:tc>
        <w:tc>
          <w:tcPr>
            <w:tcW w:w="1872" w:type="dxa"/>
          </w:tcPr>
          <w:p w:rsidR="00D708FF" w:rsidRDefault="00E31DE8">
            <w:pPr>
              <w:spacing w:line="240" w:lineRule="auto"/>
            </w:pPr>
            <w:r>
              <w:rPr>
                <w:b/>
                <w:sz w:val="20"/>
              </w:rPr>
              <w:t>budget</w:t>
            </w:r>
          </w:p>
        </w:tc>
        <w:tc>
          <w:tcPr>
            <w:tcW w:w="1872" w:type="dxa"/>
          </w:tcPr>
          <w:p w:rsidR="00D708FF" w:rsidRDefault="00E31DE8">
            <w:pPr>
              <w:spacing w:line="240" w:lineRule="auto"/>
            </w:pPr>
            <w:r>
              <w:rPr>
                <w:b/>
                <w:sz w:val="20"/>
              </w:rPr>
              <w:t>revenue</w:t>
            </w:r>
          </w:p>
        </w:tc>
        <w:tc>
          <w:tcPr>
            <w:tcW w:w="1872" w:type="dxa"/>
          </w:tcPr>
          <w:p w:rsidR="00D708FF" w:rsidRDefault="00E31DE8">
            <w:pPr>
              <w:spacing w:line="240" w:lineRule="auto"/>
            </w:pPr>
            <w:r>
              <w:rPr>
                <w:b/>
                <w:sz w:val="20"/>
              </w:rPr>
              <w:t>vote</w:t>
            </w:r>
          </w:p>
        </w:tc>
      </w:tr>
      <w:tr w:rsidR="00D708FF">
        <w:tc>
          <w:tcPr>
            <w:tcW w:w="1872" w:type="dxa"/>
          </w:tcPr>
          <w:p w:rsidR="00D708FF" w:rsidRDefault="00E31DE8">
            <w:pPr>
              <w:spacing w:line="240" w:lineRule="auto"/>
            </w:pPr>
            <w:r>
              <w:rPr>
                <w:sz w:val="20"/>
              </w:rPr>
              <w:t>Toy Story</w:t>
            </w:r>
          </w:p>
        </w:tc>
        <w:tc>
          <w:tcPr>
            <w:tcW w:w="1872" w:type="dxa"/>
          </w:tcPr>
          <w:p w:rsidR="00D708FF" w:rsidRDefault="00E31DE8">
            <w:pPr>
              <w:spacing w:line="240" w:lineRule="auto"/>
            </w:pPr>
            <w:r>
              <w:rPr>
                <w:sz w:val="20"/>
              </w:rPr>
              <w:t>1995-10-30</w:t>
            </w:r>
          </w:p>
        </w:tc>
        <w:tc>
          <w:tcPr>
            <w:tcW w:w="1872" w:type="dxa"/>
          </w:tcPr>
          <w:p w:rsidR="00D708FF" w:rsidRDefault="00E31DE8">
            <w:pPr>
              <w:spacing w:line="240" w:lineRule="auto"/>
            </w:pPr>
            <w:r>
              <w:rPr>
                <w:sz w:val="20"/>
              </w:rPr>
              <w:t>30,000,000</w:t>
            </w:r>
          </w:p>
        </w:tc>
        <w:tc>
          <w:tcPr>
            <w:tcW w:w="1872" w:type="dxa"/>
          </w:tcPr>
          <w:p w:rsidR="00D708FF" w:rsidRDefault="00E31DE8">
            <w:pPr>
              <w:spacing w:line="240" w:lineRule="auto"/>
            </w:pPr>
            <w:r>
              <w:rPr>
                <w:sz w:val="20"/>
              </w:rPr>
              <w:t>373,554,033</w:t>
            </w:r>
          </w:p>
        </w:tc>
        <w:tc>
          <w:tcPr>
            <w:tcW w:w="1872" w:type="dxa"/>
          </w:tcPr>
          <w:p w:rsidR="00D708FF" w:rsidRDefault="00E31DE8">
            <w:pPr>
              <w:spacing w:line="240" w:lineRule="auto"/>
            </w:pPr>
            <w:r>
              <w:rPr>
                <w:sz w:val="20"/>
              </w:rPr>
              <w:t>7.7</w:t>
            </w:r>
          </w:p>
        </w:tc>
      </w:tr>
      <w:tr w:rsidR="00D708FF">
        <w:tc>
          <w:tcPr>
            <w:tcW w:w="1872" w:type="dxa"/>
          </w:tcPr>
          <w:p w:rsidR="00D708FF" w:rsidRDefault="00E31DE8">
            <w:pPr>
              <w:spacing w:line="240" w:lineRule="auto"/>
            </w:pPr>
            <w:r>
              <w:rPr>
                <w:sz w:val="20"/>
              </w:rPr>
              <w:t>Jumanji</w:t>
            </w:r>
          </w:p>
        </w:tc>
        <w:tc>
          <w:tcPr>
            <w:tcW w:w="1872" w:type="dxa"/>
          </w:tcPr>
          <w:p w:rsidR="00D708FF" w:rsidRDefault="00E31DE8">
            <w:pPr>
              <w:spacing w:line="240" w:lineRule="auto"/>
            </w:pPr>
            <w:r>
              <w:rPr>
                <w:sz w:val="20"/>
              </w:rPr>
              <w:t>1995-12-15</w:t>
            </w:r>
          </w:p>
        </w:tc>
        <w:tc>
          <w:tcPr>
            <w:tcW w:w="1872" w:type="dxa"/>
          </w:tcPr>
          <w:p w:rsidR="00D708FF" w:rsidRDefault="00E31DE8">
            <w:pPr>
              <w:spacing w:line="240" w:lineRule="auto"/>
            </w:pPr>
            <w:r>
              <w:rPr>
                <w:sz w:val="20"/>
              </w:rPr>
              <w:t>65,000,000</w:t>
            </w:r>
          </w:p>
        </w:tc>
        <w:tc>
          <w:tcPr>
            <w:tcW w:w="1872" w:type="dxa"/>
          </w:tcPr>
          <w:p w:rsidR="00D708FF" w:rsidRDefault="00E31DE8">
            <w:pPr>
              <w:spacing w:line="240" w:lineRule="auto"/>
            </w:pPr>
            <w:r>
              <w:rPr>
                <w:sz w:val="20"/>
              </w:rPr>
              <w:t>262,797,249</w:t>
            </w:r>
          </w:p>
        </w:tc>
        <w:tc>
          <w:tcPr>
            <w:tcW w:w="1872" w:type="dxa"/>
          </w:tcPr>
          <w:p w:rsidR="00D708FF" w:rsidRDefault="00E31DE8">
            <w:pPr>
              <w:spacing w:line="240" w:lineRule="auto"/>
            </w:pPr>
            <w:r>
              <w:rPr>
                <w:sz w:val="20"/>
              </w:rPr>
              <w:t>6.9</w:t>
            </w:r>
          </w:p>
        </w:tc>
      </w:tr>
      <w:tr w:rsidR="00D708FF">
        <w:tc>
          <w:tcPr>
            <w:tcW w:w="1872" w:type="dxa"/>
          </w:tcPr>
          <w:p w:rsidR="00D708FF" w:rsidRDefault="00E31DE8">
            <w:pPr>
              <w:spacing w:line="240" w:lineRule="auto"/>
            </w:pPr>
            <w:r>
              <w:rPr>
                <w:sz w:val="20"/>
              </w:rPr>
              <w:t>Grumpier Old Men</w:t>
            </w:r>
          </w:p>
        </w:tc>
        <w:tc>
          <w:tcPr>
            <w:tcW w:w="1872" w:type="dxa"/>
          </w:tcPr>
          <w:p w:rsidR="00D708FF" w:rsidRDefault="00E31DE8">
            <w:pPr>
              <w:spacing w:line="240" w:lineRule="auto"/>
            </w:pPr>
            <w:r>
              <w:rPr>
                <w:sz w:val="20"/>
              </w:rPr>
              <w:t>1995-12-22</w:t>
            </w:r>
          </w:p>
        </w:tc>
        <w:tc>
          <w:tcPr>
            <w:tcW w:w="1872" w:type="dxa"/>
          </w:tcPr>
          <w:p w:rsidR="00D708FF" w:rsidRDefault="00E31DE8">
            <w:pPr>
              <w:spacing w:line="240" w:lineRule="auto"/>
            </w:pPr>
            <w:r>
              <w:rPr>
                <w:sz w:val="20"/>
              </w:rPr>
              <w:t>0</w:t>
            </w:r>
          </w:p>
        </w:tc>
        <w:tc>
          <w:tcPr>
            <w:tcW w:w="1872" w:type="dxa"/>
          </w:tcPr>
          <w:p w:rsidR="00D708FF" w:rsidRDefault="00E31DE8">
            <w:pPr>
              <w:spacing w:line="240" w:lineRule="auto"/>
            </w:pPr>
            <w:r>
              <w:rPr>
                <w:sz w:val="20"/>
              </w:rPr>
              <w:t>0</w:t>
            </w:r>
          </w:p>
        </w:tc>
        <w:tc>
          <w:tcPr>
            <w:tcW w:w="1872" w:type="dxa"/>
          </w:tcPr>
          <w:p w:rsidR="00D708FF" w:rsidRDefault="00E31DE8">
            <w:pPr>
              <w:spacing w:line="240" w:lineRule="auto"/>
            </w:pPr>
            <w:r>
              <w:rPr>
                <w:sz w:val="20"/>
              </w:rPr>
              <w:t>6.5</w:t>
            </w:r>
          </w:p>
        </w:tc>
      </w:tr>
    </w:tbl>
    <w:p w:rsidR="00D708FF" w:rsidRDefault="00D708FF"/>
    <w:p w:rsidR="00D708FF" w:rsidRDefault="00E31DE8">
      <w:r>
        <w:t>Dataset 5 — FINRA short interest, 30 Sep 2026. One stock on one settlement date. File: shrt20260930.csv.</w:t>
      </w:r>
    </w:p>
    <w:tbl>
      <w:tblPr>
        <w:tblStyle w:val="TableGrid"/>
        <w:tblW w:w="0" w:type="auto"/>
        <w:tblLook w:val="04A0" w:firstRow="1" w:lastRow="0" w:firstColumn="1" w:lastColumn="0" w:noHBand="0" w:noVBand="1"/>
      </w:tblPr>
      <w:tblGrid>
        <w:gridCol w:w="1872"/>
        <w:gridCol w:w="1872"/>
        <w:gridCol w:w="1872"/>
        <w:gridCol w:w="1872"/>
        <w:gridCol w:w="1872"/>
      </w:tblGrid>
      <w:tr w:rsidR="00D708FF">
        <w:tc>
          <w:tcPr>
            <w:tcW w:w="1872" w:type="dxa"/>
          </w:tcPr>
          <w:p w:rsidR="00D708FF" w:rsidRDefault="00E31DE8">
            <w:pPr>
              <w:spacing w:line="240" w:lineRule="auto"/>
            </w:pPr>
            <w:r>
              <w:rPr>
                <w:b/>
                <w:sz w:val="20"/>
              </w:rPr>
              <w:t>settlementDate</w:t>
            </w:r>
          </w:p>
        </w:tc>
        <w:tc>
          <w:tcPr>
            <w:tcW w:w="1872" w:type="dxa"/>
          </w:tcPr>
          <w:p w:rsidR="00D708FF" w:rsidRDefault="00E31DE8">
            <w:pPr>
              <w:spacing w:line="240" w:lineRule="auto"/>
            </w:pPr>
            <w:r>
              <w:rPr>
                <w:b/>
                <w:sz w:val="20"/>
              </w:rPr>
              <w:t>symbolCode</w:t>
            </w:r>
          </w:p>
        </w:tc>
        <w:tc>
          <w:tcPr>
            <w:tcW w:w="1872" w:type="dxa"/>
          </w:tcPr>
          <w:p w:rsidR="00D708FF" w:rsidRDefault="00E31DE8">
            <w:pPr>
              <w:spacing w:line="240" w:lineRule="auto"/>
            </w:pPr>
            <w:r>
              <w:rPr>
                <w:b/>
                <w:sz w:val="20"/>
              </w:rPr>
              <w:t>short shares</w:t>
            </w:r>
          </w:p>
        </w:tc>
        <w:tc>
          <w:tcPr>
            <w:tcW w:w="1872" w:type="dxa"/>
          </w:tcPr>
          <w:p w:rsidR="00D708FF" w:rsidRDefault="00E31DE8">
            <w:pPr>
              <w:spacing w:line="240" w:lineRule="auto"/>
            </w:pPr>
            <w:r>
              <w:rPr>
                <w:b/>
                <w:sz w:val="20"/>
              </w:rPr>
              <w:t>changePercent</w:t>
            </w:r>
          </w:p>
        </w:tc>
        <w:tc>
          <w:tcPr>
            <w:tcW w:w="1872" w:type="dxa"/>
          </w:tcPr>
          <w:p w:rsidR="00D708FF" w:rsidRDefault="00E31DE8">
            <w:pPr>
              <w:spacing w:line="240" w:lineRule="auto"/>
            </w:pPr>
            <w:r>
              <w:rPr>
                <w:b/>
                <w:sz w:val="20"/>
              </w:rPr>
              <w:t>daysToCover</w:t>
            </w:r>
          </w:p>
        </w:tc>
      </w:tr>
      <w:tr w:rsidR="00D708FF">
        <w:tc>
          <w:tcPr>
            <w:tcW w:w="1872" w:type="dxa"/>
          </w:tcPr>
          <w:p w:rsidR="00D708FF" w:rsidRDefault="00E31DE8">
            <w:pPr>
              <w:spacing w:line="240" w:lineRule="auto"/>
            </w:pPr>
            <w:r>
              <w:rPr>
                <w:sz w:val="20"/>
              </w:rPr>
              <w:t>2026-09-30</w:t>
            </w:r>
          </w:p>
        </w:tc>
        <w:tc>
          <w:tcPr>
            <w:tcW w:w="1872" w:type="dxa"/>
          </w:tcPr>
          <w:p w:rsidR="00D708FF" w:rsidRDefault="00E31DE8">
            <w:pPr>
              <w:spacing w:line="240" w:lineRule="auto"/>
            </w:pPr>
            <w:r>
              <w:rPr>
                <w:sz w:val="20"/>
              </w:rPr>
              <w:t>A</w:t>
            </w:r>
          </w:p>
        </w:tc>
        <w:tc>
          <w:tcPr>
            <w:tcW w:w="1872" w:type="dxa"/>
          </w:tcPr>
          <w:p w:rsidR="00D708FF" w:rsidRDefault="00E31DE8">
            <w:pPr>
              <w:spacing w:line="240" w:lineRule="auto"/>
            </w:pPr>
            <w:r>
              <w:rPr>
                <w:sz w:val="20"/>
              </w:rPr>
              <w:t>5,240,309</w:t>
            </w:r>
          </w:p>
        </w:tc>
        <w:tc>
          <w:tcPr>
            <w:tcW w:w="1872" w:type="dxa"/>
          </w:tcPr>
          <w:p w:rsidR="00D708FF" w:rsidRDefault="00E31DE8">
            <w:pPr>
              <w:spacing w:line="240" w:lineRule="auto"/>
            </w:pPr>
            <w:r>
              <w:rPr>
                <w:sz w:val="20"/>
              </w:rPr>
              <w:t>3.18</w:t>
            </w:r>
          </w:p>
        </w:tc>
        <w:tc>
          <w:tcPr>
            <w:tcW w:w="1872" w:type="dxa"/>
          </w:tcPr>
          <w:p w:rsidR="00D708FF" w:rsidRDefault="00E31DE8">
            <w:pPr>
              <w:spacing w:line="240" w:lineRule="auto"/>
            </w:pPr>
            <w:r>
              <w:rPr>
                <w:sz w:val="20"/>
              </w:rPr>
              <w:t>1.78</w:t>
            </w:r>
          </w:p>
        </w:tc>
      </w:tr>
      <w:tr w:rsidR="00D708FF">
        <w:tc>
          <w:tcPr>
            <w:tcW w:w="1872" w:type="dxa"/>
          </w:tcPr>
          <w:p w:rsidR="00D708FF" w:rsidRDefault="00E31DE8">
            <w:pPr>
              <w:spacing w:line="240" w:lineRule="auto"/>
            </w:pPr>
            <w:r>
              <w:rPr>
                <w:sz w:val="20"/>
              </w:rPr>
              <w:t>2026-09-30</w:t>
            </w:r>
          </w:p>
        </w:tc>
        <w:tc>
          <w:tcPr>
            <w:tcW w:w="1872" w:type="dxa"/>
          </w:tcPr>
          <w:p w:rsidR="00D708FF" w:rsidRDefault="00E31DE8">
            <w:pPr>
              <w:spacing w:line="240" w:lineRule="auto"/>
            </w:pPr>
            <w:r>
              <w:rPr>
                <w:sz w:val="20"/>
              </w:rPr>
              <w:t>AA</w:t>
            </w:r>
          </w:p>
        </w:tc>
        <w:tc>
          <w:tcPr>
            <w:tcW w:w="1872" w:type="dxa"/>
          </w:tcPr>
          <w:p w:rsidR="00D708FF" w:rsidRDefault="00E31DE8">
            <w:pPr>
              <w:spacing w:line="240" w:lineRule="auto"/>
            </w:pPr>
            <w:r>
              <w:rPr>
                <w:sz w:val="20"/>
              </w:rPr>
              <w:t>11,725,447</w:t>
            </w:r>
          </w:p>
        </w:tc>
        <w:tc>
          <w:tcPr>
            <w:tcW w:w="1872" w:type="dxa"/>
          </w:tcPr>
          <w:p w:rsidR="00D708FF" w:rsidRDefault="00E31DE8">
            <w:pPr>
              <w:spacing w:line="240" w:lineRule="auto"/>
            </w:pPr>
            <w:r>
              <w:rPr>
                <w:sz w:val="20"/>
              </w:rPr>
              <w:t>-2.16</w:t>
            </w:r>
          </w:p>
        </w:tc>
        <w:tc>
          <w:tcPr>
            <w:tcW w:w="1872" w:type="dxa"/>
          </w:tcPr>
          <w:p w:rsidR="00D708FF" w:rsidRDefault="00E31DE8">
            <w:pPr>
              <w:spacing w:line="240" w:lineRule="auto"/>
            </w:pPr>
            <w:r>
              <w:rPr>
                <w:sz w:val="20"/>
              </w:rPr>
              <w:t>2.85</w:t>
            </w:r>
          </w:p>
        </w:tc>
      </w:tr>
      <w:tr w:rsidR="00D708FF">
        <w:tc>
          <w:tcPr>
            <w:tcW w:w="1872" w:type="dxa"/>
          </w:tcPr>
          <w:p w:rsidR="00D708FF" w:rsidRDefault="00E31DE8">
            <w:pPr>
              <w:spacing w:line="240" w:lineRule="auto"/>
            </w:pPr>
            <w:r>
              <w:rPr>
                <w:sz w:val="20"/>
              </w:rPr>
              <w:t>2026-09-30</w:t>
            </w:r>
          </w:p>
        </w:tc>
        <w:tc>
          <w:tcPr>
            <w:tcW w:w="1872" w:type="dxa"/>
          </w:tcPr>
          <w:p w:rsidR="00D708FF" w:rsidRDefault="00E31DE8">
            <w:pPr>
              <w:spacing w:line="240" w:lineRule="auto"/>
            </w:pPr>
            <w:r>
              <w:rPr>
                <w:sz w:val="20"/>
              </w:rPr>
              <w:t>AAA</w:t>
            </w:r>
          </w:p>
        </w:tc>
        <w:tc>
          <w:tcPr>
            <w:tcW w:w="1872" w:type="dxa"/>
          </w:tcPr>
          <w:p w:rsidR="00D708FF" w:rsidRDefault="00E31DE8">
            <w:pPr>
              <w:spacing w:line="240" w:lineRule="auto"/>
            </w:pPr>
            <w:r>
              <w:rPr>
                <w:sz w:val="20"/>
              </w:rPr>
              <w:t>7,957</w:t>
            </w:r>
          </w:p>
        </w:tc>
        <w:tc>
          <w:tcPr>
            <w:tcW w:w="1872" w:type="dxa"/>
          </w:tcPr>
          <w:p w:rsidR="00D708FF" w:rsidRDefault="00E31DE8">
            <w:pPr>
              <w:spacing w:line="240" w:lineRule="auto"/>
            </w:pPr>
            <w:r>
              <w:rPr>
                <w:sz w:val="20"/>
              </w:rPr>
              <w:t>456.82</w:t>
            </w:r>
          </w:p>
        </w:tc>
        <w:tc>
          <w:tcPr>
            <w:tcW w:w="1872" w:type="dxa"/>
          </w:tcPr>
          <w:p w:rsidR="00D708FF" w:rsidRDefault="00E31DE8">
            <w:pPr>
              <w:spacing w:line="240" w:lineRule="auto"/>
            </w:pPr>
            <w:r>
              <w:rPr>
                <w:sz w:val="20"/>
              </w:rPr>
              <w:t>1.00</w:t>
            </w:r>
          </w:p>
        </w:tc>
      </w:tr>
    </w:tbl>
    <w:p w:rsidR="00D708FF" w:rsidRDefault="00D708FF"/>
    <w:p w:rsidR="00D708FF" w:rsidRDefault="00E31DE8">
      <w:r>
        <w:rPr>
          <w:b/>
        </w:rPr>
        <w:t xml:space="preserve">Reflection: </w:t>
      </w:r>
      <w:r>
        <w:t>Data quality is the analysis. The zero-bid contracts looked ordinary until I asked what a zero bid means: nobody will buy at any price. Deleting 6.5% of the data before modeling felt drastic. Training on prices that do not exist is worse.</w:t>
      </w:r>
    </w:p>
    <w:p w:rsidR="00D708FF" w:rsidRDefault="00E31DE8">
      <w:pPr>
        <w:spacing w:before="240"/>
      </w:pPr>
      <w:r>
        <w:rPr>
          <w:b/>
        </w:rPr>
        <w:t>Week 4</w:t>
      </w:r>
    </w:p>
    <w:p w:rsidR="00D708FF" w:rsidRDefault="00E31DE8">
      <w:r>
        <w:rPr>
          <w:b/>
        </w:rPr>
        <w:t xml:space="preserve">Assignment/Capstone work: </w:t>
      </w:r>
      <w:r>
        <w:t>I wrote down the professional problems that actually attach to these files, then added a fifth dataset that sits next to the options work instead of repeating it.</w:t>
      </w:r>
    </w:p>
    <w:p w:rsidR="00D708FF" w:rsidRDefault="00E31DE8">
      <w:r>
        <w:t>The professional problems. I work as a valuation specialist at a hedge fund in Hong Kong. The files I kept are the ones that map onto questions I already have to explain, or that I care about as a consumer. In finance the live problem is not downloading prices. It is whether a quoted smile and a set of Greeks are internally consistent, and whether a short-interest file is describing crowded positioning or names that simply do not trade. A wrong IV surface mis-marks a book. A short-interest spike that is act</w:t>
      </w:r>
      <w:r>
        <w:t xml:space="preserve">ually a split creates a false squeeze alarm for risk and for stock loan. In the auto market the problem is planning: which segments electrified, and whether a subsidy cliff changed that. Inventory and battery supply are expensive if the mix is wrong. In music and film the problem is allocation. Streamers and studios spend against noisy popularity and revenue numbers. A popularity label that is really a genre-balancing artifact, or a movie budget coded as zero, will send a model the wrong way. Milestone Two </w:t>
      </w:r>
      <w:r>
        <w:t>should stay attached to those questions, not to a generic accuracy score.</w:t>
      </w:r>
    </w:p>
    <w:p w:rsidR="00D708FF" w:rsidRDefault="00E31DE8">
      <w:r>
        <w:rPr>
          <w:b/>
        </w:rPr>
        <w:t xml:space="preserve">Artifact (required): </w:t>
      </w:r>
      <w:r>
        <w:t>a new related dataset, with a sample and a public link. I added FINRA’s 30 September 2026 equity short-interest file (shrt20260930.csv). It is one date and 22,581 names. It sits next to the SPY chain: listed-market microstructure on one side, positioning and cover time on the other. No price join.</w:t>
      </w:r>
    </w:p>
    <w:p w:rsidR="00D708FF" w:rsidRDefault="00E31DE8">
      <w:r>
        <w:t>Link: https://cdn.finra.org/equity/otcmarket/biweekly/shrt20260930.csv</w:t>
      </w:r>
    </w:p>
    <w:tbl>
      <w:tblPr>
        <w:tblStyle w:val="TableGrid"/>
        <w:tblW w:w="0" w:type="auto"/>
        <w:tblLook w:val="04A0" w:firstRow="1" w:lastRow="0" w:firstColumn="1" w:lastColumn="0" w:noHBand="0" w:noVBand="1"/>
      </w:tblPr>
      <w:tblGrid>
        <w:gridCol w:w="1638"/>
        <w:gridCol w:w="1501"/>
        <w:gridCol w:w="1515"/>
        <w:gridCol w:w="2794"/>
        <w:gridCol w:w="2128"/>
      </w:tblGrid>
      <w:tr w:rsidR="00D708FF">
        <w:tc>
          <w:tcPr>
            <w:tcW w:w="1872" w:type="dxa"/>
          </w:tcPr>
          <w:p w:rsidR="00D708FF" w:rsidRDefault="00E31DE8">
            <w:pPr>
              <w:spacing w:line="240" w:lineRule="auto"/>
            </w:pPr>
            <w:r>
              <w:rPr>
                <w:b/>
                <w:sz w:val="20"/>
              </w:rPr>
              <w:t>settlementDate</w:t>
            </w:r>
          </w:p>
        </w:tc>
        <w:tc>
          <w:tcPr>
            <w:tcW w:w="1872" w:type="dxa"/>
          </w:tcPr>
          <w:p w:rsidR="00D708FF" w:rsidRDefault="00E31DE8">
            <w:pPr>
              <w:spacing w:line="240" w:lineRule="auto"/>
            </w:pPr>
            <w:r>
              <w:rPr>
                <w:b/>
                <w:sz w:val="20"/>
              </w:rPr>
              <w:t>symbolCode</w:t>
            </w:r>
          </w:p>
        </w:tc>
        <w:tc>
          <w:tcPr>
            <w:tcW w:w="1872" w:type="dxa"/>
          </w:tcPr>
          <w:p w:rsidR="00D708FF" w:rsidRDefault="00E31DE8">
            <w:pPr>
              <w:spacing w:line="240" w:lineRule="auto"/>
            </w:pPr>
            <w:r>
              <w:rPr>
                <w:b/>
                <w:sz w:val="20"/>
              </w:rPr>
              <w:t>issueName</w:t>
            </w:r>
          </w:p>
        </w:tc>
        <w:tc>
          <w:tcPr>
            <w:tcW w:w="1872" w:type="dxa"/>
          </w:tcPr>
          <w:p w:rsidR="00D708FF" w:rsidRDefault="00E31DE8">
            <w:pPr>
              <w:spacing w:line="240" w:lineRule="auto"/>
            </w:pPr>
            <w:r>
              <w:rPr>
                <w:b/>
                <w:sz w:val="20"/>
              </w:rPr>
              <w:t>currentShortPositionQuantity</w:t>
            </w:r>
          </w:p>
        </w:tc>
        <w:tc>
          <w:tcPr>
            <w:tcW w:w="1872" w:type="dxa"/>
          </w:tcPr>
          <w:p w:rsidR="00D708FF" w:rsidRDefault="00E31DE8">
            <w:pPr>
              <w:spacing w:line="240" w:lineRule="auto"/>
            </w:pPr>
            <w:r>
              <w:rPr>
                <w:b/>
                <w:sz w:val="20"/>
              </w:rPr>
              <w:t>daysToCoverQuantity</w:t>
            </w:r>
          </w:p>
        </w:tc>
      </w:tr>
      <w:tr w:rsidR="00D708FF">
        <w:tc>
          <w:tcPr>
            <w:tcW w:w="1872" w:type="dxa"/>
          </w:tcPr>
          <w:p w:rsidR="00D708FF" w:rsidRDefault="00E31DE8">
            <w:pPr>
              <w:spacing w:line="240" w:lineRule="auto"/>
            </w:pPr>
            <w:r>
              <w:rPr>
                <w:sz w:val="20"/>
              </w:rPr>
              <w:t>2026-09-30</w:t>
            </w:r>
          </w:p>
        </w:tc>
        <w:tc>
          <w:tcPr>
            <w:tcW w:w="1872" w:type="dxa"/>
          </w:tcPr>
          <w:p w:rsidR="00D708FF" w:rsidRDefault="00E31DE8">
            <w:pPr>
              <w:spacing w:line="240" w:lineRule="auto"/>
            </w:pPr>
            <w:r>
              <w:rPr>
                <w:sz w:val="20"/>
              </w:rPr>
              <w:t>A</w:t>
            </w:r>
          </w:p>
        </w:tc>
        <w:tc>
          <w:tcPr>
            <w:tcW w:w="1872" w:type="dxa"/>
          </w:tcPr>
          <w:p w:rsidR="00D708FF" w:rsidRDefault="00E31DE8">
            <w:pPr>
              <w:spacing w:line="240" w:lineRule="auto"/>
            </w:pPr>
            <w:r>
              <w:rPr>
                <w:sz w:val="20"/>
              </w:rPr>
              <w:t>Agilent Technologies Inc.</w:t>
            </w:r>
          </w:p>
        </w:tc>
        <w:tc>
          <w:tcPr>
            <w:tcW w:w="1872" w:type="dxa"/>
          </w:tcPr>
          <w:p w:rsidR="00D708FF" w:rsidRDefault="00E31DE8">
            <w:pPr>
              <w:spacing w:line="240" w:lineRule="auto"/>
            </w:pPr>
            <w:r>
              <w:rPr>
                <w:sz w:val="20"/>
              </w:rPr>
              <w:t>5,240,309</w:t>
            </w:r>
          </w:p>
        </w:tc>
        <w:tc>
          <w:tcPr>
            <w:tcW w:w="1872" w:type="dxa"/>
          </w:tcPr>
          <w:p w:rsidR="00D708FF" w:rsidRDefault="00E31DE8">
            <w:pPr>
              <w:spacing w:line="240" w:lineRule="auto"/>
            </w:pPr>
            <w:r>
              <w:rPr>
                <w:sz w:val="20"/>
              </w:rPr>
              <w:t>1.78</w:t>
            </w:r>
          </w:p>
        </w:tc>
      </w:tr>
      <w:tr w:rsidR="00D708FF">
        <w:tc>
          <w:tcPr>
            <w:tcW w:w="1872" w:type="dxa"/>
          </w:tcPr>
          <w:p w:rsidR="00D708FF" w:rsidRDefault="00E31DE8">
            <w:pPr>
              <w:spacing w:line="240" w:lineRule="auto"/>
            </w:pPr>
            <w:r>
              <w:rPr>
                <w:sz w:val="20"/>
              </w:rPr>
              <w:t>2026-09-30</w:t>
            </w:r>
          </w:p>
        </w:tc>
        <w:tc>
          <w:tcPr>
            <w:tcW w:w="1872" w:type="dxa"/>
          </w:tcPr>
          <w:p w:rsidR="00D708FF" w:rsidRDefault="00E31DE8">
            <w:pPr>
              <w:spacing w:line="240" w:lineRule="auto"/>
            </w:pPr>
            <w:r>
              <w:rPr>
                <w:sz w:val="20"/>
              </w:rPr>
              <w:t>AA</w:t>
            </w:r>
          </w:p>
        </w:tc>
        <w:tc>
          <w:tcPr>
            <w:tcW w:w="1872" w:type="dxa"/>
          </w:tcPr>
          <w:p w:rsidR="00D708FF" w:rsidRDefault="00E31DE8">
            <w:pPr>
              <w:spacing w:line="240" w:lineRule="auto"/>
            </w:pPr>
            <w:r>
              <w:rPr>
                <w:sz w:val="20"/>
              </w:rPr>
              <w:t>Alcoa Corporation</w:t>
            </w:r>
          </w:p>
        </w:tc>
        <w:tc>
          <w:tcPr>
            <w:tcW w:w="1872" w:type="dxa"/>
          </w:tcPr>
          <w:p w:rsidR="00D708FF" w:rsidRDefault="00E31DE8">
            <w:pPr>
              <w:spacing w:line="240" w:lineRule="auto"/>
            </w:pPr>
            <w:r>
              <w:rPr>
                <w:sz w:val="20"/>
              </w:rPr>
              <w:t>11,725,447</w:t>
            </w:r>
          </w:p>
        </w:tc>
        <w:tc>
          <w:tcPr>
            <w:tcW w:w="1872" w:type="dxa"/>
          </w:tcPr>
          <w:p w:rsidR="00D708FF" w:rsidRDefault="00E31DE8">
            <w:pPr>
              <w:spacing w:line="240" w:lineRule="auto"/>
            </w:pPr>
            <w:r>
              <w:rPr>
                <w:sz w:val="20"/>
              </w:rPr>
              <w:t>2.85</w:t>
            </w:r>
          </w:p>
        </w:tc>
      </w:tr>
      <w:tr w:rsidR="00D708FF">
        <w:tc>
          <w:tcPr>
            <w:tcW w:w="1872" w:type="dxa"/>
          </w:tcPr>
          <w:p w:rsidR="00D708FF" w:rsidRDefault="00E31DE8">
            <w:pPr>
              <w:spacing w:line="240" w:lineRule="auto"/>
            </w:pPr>
            <w:r>
              <w:rPr>
                <w:sz w:val="20"/>
              </w:rPr>
              <w:t>2026-09-30</w:t>
            </w:r>
          </w:p>
        </w:tc>
        <w:tc>
          <w:tcPr>
            <w:tcW w:w="1872" w:type="dxa"/>
          </w:tcPr>
          <w:p w:rsidR="00D708FF" w:rsidRDefault="00E31DE8">
            <w:pPr>
              <w:spacing w:line="240" w:lineRule="auto"/>
            </w:pPr>
            <w:r>
              <w:rPr>
                <w:sz w:val="20"/>
              </w:rPr>
              <w:t>AAA</w:t>
            </w:r>
          </w:p>
        </w:tc>
        <w:tc>
          <w:tcPr>
            <w:tcW w:w="1872" w:type="dxa"/>
          </w:tcPr>
          <w:p w:rsidR="00D708FF" w:rsidRDefault="00E31DE8">
            <w:pPr>
              <w:spacing w:line="240" w:lineRule="auto"/>
            </w:pPr>
            <w:r>
              <w:rPr>
                <w:sz w:val="20"/>
              </w:rPr>
              <w:t>Alternative Access First Prior</w:t>
            </w:r>
          </w:p>
        </w:tc>
        <w:tc>
          <w:tcPr>
            <w:tcW w:w="1872" w:type="dxa"/>
          </w:tcPr>
          <w:p w:rsidR="00D708FF" w:rsidRDefault="00E31DE8">
            <w:pPr>
              <w:spacing w:line="240" w:lineRule="auto"/>
            </w:pPr>
            <w:r>
              <w:rPr>
                <w:sz w:val="20"/>
              </w:rPr>
              <w:t>7,957</w:t>
            </w:r>
          </w:p>
        </w:tc>
        <w:tc>
          <w:tcPr>
            <w:tcW w:w="1872" w:type="dxa"/>
          </w:tcPr>
          <w:p w:rsidR="00D708FF" w:rsidRDefault="00E31DE8">
            <w:pPr>
              <w:spacing w:line="240" w:lineRule="auto"/>
            </w:pPr>
            <w:r>
              <w:rPr>
                <w:sz w:val="20"/>
              </w:rPr>
              <w:t>1.00</w:t>
            </w:r>
          </w:p>
        </w:tc>
      </w:tr>
    </w:tbl>
    <w:p w:rsidR="00D708FF" w:rsidRDefault="00D708FF"/>
    <w:p w:rsidR="00D708FF" w:rsidRDefault="00E31DE8">
      <w:r>
        <w:rPr>
          <w:b/>
        </w:rPr>
        <w:t xml:space="preserve">Reflection: </w:t>
      </w:r>
      <w:r>
        <w:t>The module treats predictive modeling as supervised segmentation, which changed how I look at market data. An option chain is a segmentation problem: the model learns boundaries across moneyness and expiry the way a tree segments customers. After that, the industry label mattered less to me than the shape of the problem.</w:t>
      </w:r>
    </w:p>
    <w:p w:rsidR="00D708FF" w:rsidRDefault="00E31DE8">
      <w:pPr>
        <w:spacing w:before="240"/>
      </w:pPr>
      <w:r>
        <w:rPr>
          <w:b/>
        </w:rPr>
        <w:t>Week 5</w:t>
      </w:r>
    </w:p>
    <w:p w:rsidR="00D708FF" w:rsidRDefault="00E31DE8">
      <w:r>
        <w:rPr>
          <w:b/>
        </w:rPr>
        <w:t xml:space="preserve">Assignment/Capstone work: </w:t>
      </w:r>
      <w:r>
        <w:t>I locked the five datasets: SPY options (finance), China EV sales (environment), Spotify tracks and TMDB movies (entertainment), and the FINRA 30 September 2026 short-interest file (finance). Kaggle would not open from my machine, so Spotify and TMDB came from local copies of the files Kaggle publishes. I built a slideshow that presents each dataset with a sample, why it has value, why I kept it, the questions it can answer, and a decision-tree / linear-discriminant demo on Dataset 5. I tried a SpaceX launc</w:t>
      </w:r>
      <w:r>
        <w:t>hes file for environment. It was too small, so I left it out.</w:t>
      </w:r>
    </w:p>
    <w:p w:rsidR="00D708FF" w:rsidRDefault="00DE4E9A">
      <w:r>
        <w:rPr>
          <w:b/>
        </w:rPr>
        <w:t>Artifact (required): slideshow of the five datasets. The nine slides are printed below so this PDF does not depend on a separate download. The same file lives in the course repo as milestone1/dx699-week5-datasets.pptx. This is the same one-date FINRA file used in the paper (shrt20260930.csv: 22,581 names by 14 columns on 30 September 2026), not a stacked 90-date panel.</w:t>
      </w:r>
    </w:p>
    <w:p w:rsidR="00DE4E9A" w:rsidRDefault="00DE4E9A"/>
    <w:p w:rsidR="00DE4E9A" w:rsidRDefault="00DE4E9A">
      <w:r>
        <w:t>Slide 1 of 9</w:t>
      </w:r>
    </w:p>
    <w:p w:rsidR="00DE4E9A" w:rsidRDefault="00DE4E9A">
      <w:r>
        <w:rPr>
          <w:noProof/>
        </w:rPr>
        <w:drawing>
          <wp:inline distT="0" distB="0" distL="0" distR="0">
            <wp:extent cx="5943600" cy="3343275"/>
            <wp:effectExtent l="0" t="0" r="0" b="9525"/>
            <wp:docPr id="48664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2497" name=""/>
                    <pic:cNvPicPr/>
                  </pic:nvPicPr>
                  <pic:blipFill>
                    <a:blip r:embed="rId6"/>
                    <a:stretch>
                      <a:fillRect/>
                    </a:stretch>
                  </pic:blipFill>
                  <pic:spPr>
                    <a:xfrm>
                      <a:off x="0" y="0"/>
                      <a:ext cx="5943600" cy="3343275"/>
                    </a:xfrm>
                    <a:prstGeom prst="rect">
                      <a:avLst/>
                    </a:prstGeom>
                  </pic:spPr>
                </pic:pic>
              </a:graphicData>
            </a:graphic>
          </wp:inline>
        </w:drawing>
      </w:r>
    </w:p>
    <w:p w:rsidR="00DE4E9A" w:rsidRDefault="00DE4E9A">
      <w:r>
        <w:t>Slide 2 of 9</w:t>
      </w:r>
    </w:p>
    <w:p w:rsidR="00DE4E9A" w:rsidRDefault="00DE4E9A">
      <w:r>
        <w:rPr>
          <w:noProof/>
        </w:rPr>
        <w:drawing>
          <wp:inline distT="0" distB="0" distL="0" distR="0">
            <wp:extent cx="5943600" cy="3343275"/>
            <wp:effectExtent l="0" t="0" r="0" b="9525"/>
            <wp:docPr id="20563016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01684" name=""/>
                    <pic:cNvPicPr/>
                  </pic:nvPicPr>
                  <pic:blipFill>
                    <a:blip r:embed="rId7"/>
                    <a:stretch>
                      <a:fillRect/>
                    </a:stretch>
                  </pic:blipFill>
                  <pic:spPr>
                    <a:xfrm>
                      <a:off x="0" y="0"/>
                      <a:ext cx="5943600" cy="3343275"/>
                    </a:xfrm>
                    <a:prstGeom prst="rect">
                      <a:avLst/>
                    </a:prstGeom>
                  </pic:spPr>
                </pic:pic>
              </a:graphicData>
            </a:graphic>
          </wp:inline>
        </w:drawing>
      </w:r>
    </w:p>
    <w:p w:rsidR="00DE4E9A" w:rsidRDefault="00DE4E9A">
      <w:r>
        <w:t>Slide 3 of 9</w:t>
      </w:r>
    </w:p>
    <w:p w:rsidR="00DE4E9A" w:rsidRDefault="00DE4E9A">
      <w:r>
        <w:rPr>
          <w:noProof/>
        </w:rPr>
        <w:drawing>
          <wp:inline distT="0" distB="0" distL="0" distR="0">
            <wp:extent cx="5943600" cy="3343275"/>
            <wp:effectExtent l="0" t="0" r="0" b="9525"/>
            <wp:docPr id="799292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92217" name=""/>
                    <pic:cNvPicPr/>
                  </pic:nvPicPr>
                  <pic:blipFill>
                    <a:blip r:embed="rId8"/>
                    <a:stretch>
                      <a:fillRect/>
                    </a:stretch>
                  </pic:blipFill>
                  <pic:spPr>
                    <a:xfrm>
                      <a:off x="0" y="0"/>
                      <a:ext cx="5943600" cy="3343275"/>
                    </a:xfrm>
                    <a:prstGeom prst="rect">
                      <a:avLst/>
                    </a:prstGeom>
                  </pic:spPr>
                </pic:pic>
              </a:graphicData>
            </a:graphic>
          </wp:inline>
        </w:drawing>
      </w:r>
    </w:p>
    <w:p w:rsidR="00DE4E9A" w:rsidRDefault="00DE4E9A">
      <w:r>
        <w:t>Slide 4 of 9</w:t>
      </w:r>
    </w:p>
    <w:p w:rsidR="00DE4E9A" w:rsidRDefault="00DE4E9A">
      <w:r>
        <w:rPr>
          <w:noProof/>
        </w:rPr>
        <w:drawing>
          <wp:inline distT="0" distB="0" distL="0" distR="0">
            <wp:extent cx="5943600" cy="3343275"/>
            <wp:effectExtent l="0" t="0" r="0" b="9525"/>
            <wp:docPr id="7682568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56886" name=""/>
                    <pic:cNvPicPr/>
                  </pic:nvPicPr>
                  <pic:blipFill>
                    <a:blip r:embed="rId9"/>
                    <a:stretch>
                      <a:fillRect/>
                    </a:stretch>
                  </pic:blipFill>
                  <pic:spPr>
                    <a:xfrm>
                      <a:off x="0" y="0"/>
                      <a:ext cx="5943600" cy="3343275"/>
                    </a:xfrm>
                    <a:prstGeom prst="rect">
                      <a:avLst/>
                    </a:prstGeom>
                  </pic:spPr>
                </pic:pic>
              </a:graphicData>
            </a:graphic>
          </wp:inline>
        </w:drawing>
      </w:r>
    </w:p>
    <w:p w:rsidR="00DE4E9A" w:rsidRDefault="00DE4E9A">
      <w:r>
        <w:t>Slide 5 of 9</w:t>
      </w:r>
    </w:p>
    <w:p w:rsidR="00DE4E9A" w:rsidRDefault="00DE4E9A">
      <w:r>
        <w:rPr>
          <w:noProof/>
        </w:rPr>
        <w:drawing>
          <wp:inline distT="0" distB="0" distL="0" distR="0">
            <wp:extent cx="5943600" cy="3343275"/>
            <wp:effectExtent l="0" t="0" r="0" b="9525"/>
            <wp:docPr id="4843018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01889" name=""/>
                    <pic:cNvPicPr/>
                  </pic:nvPicPr>
                  <pic:blipFill>
                    <a:blip r:embed="rId10"/>
                    <a:stretch>
                      <a:fillRect/>
                    </a:stretch>
                  </pic:blipFill>
                  <pic:spPr>
                    <a:xfrm>
                      <a:off x="0" y="0"/>
                      <a:ext cx="5943600" cy="3343275"/>
                    </a:xfrm>
                    <a:prstGeom prst="rect">
                      <a:avLst/>
                    </a:prstGeom>
                  </pic:spPr>
                </pic:pic>
              </a:graphicData>
            </a:graphic>
          </wp:inline>
        </w:drawing>
      </w:r>
    </w:p>
    <w:p w:rsidR="00DE4E9A" w:rsidRDefault="00DE4E9A">
      <w:r>
        <w:t>Slide 6 of 9</w:t>
      </w:r>
    </w:p>
    <w:p w:rsidR="00DE4E9A" w:rsidRDefault="00DE4E9A">
      <w:r>
        <w:rPr>
          <w:noProof/>
        </w:rPr>
        <w:drawing>
          <wp:inline distT="0" distB="0" distL="0" distR="0">
            <wp:extent cx="5943600" cy="3343275"/>
            <wp:effectExtent l="0" t="0" r="0" b="9525"/>
            <wp:docPr id="19300892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89274" name=""/>
                    <pic:cNvPicPr/>
                  </pic:nvPicPr>
                  <pic:blipFill>
                    <a:blip r:embed="rId11"/>
                    <a:stretch>
                      <a:fillRect/>
                    </a:stretch>
                  </pic:blipFill>
                  <pic:spPr>
                    <a:xfrm>
                      <a:off x="0" y="0"/>
                      <a:ext cx="5943600" cy="3343275"/>
                    </a:xfrm>
                    <a:prstGeom prst="rect">
                      <a:avLst/>
                    </a:prstGeom>
                  </pic:spPr>
                </pic:pic>
              </a:graphicData>
            </a:graphic>
          </wp:inline>
        </w:drawing>
      </w:r>
    </w:p>
    <w:p w:rsidR="00DE4E9A" w:rsidRDefault="00DE4E9A">
      <w:r>
        <w:t>Slide 7 of 9</w:t>
      </w:r>
    </w:p>
    <w:p w:rsidR="00DE4E9A" w:rsidRDefault="00DE4E9A">
      <w:r>
        <w:rPr>
          <w:noProof/>
        </w:rPr>
        <w:drawing>
          <wp:inline distT="0" distB="0" distL="0" distR="0">
            <wp:extent cx="5943600" cy="3343275"/>
            <wp:effectExtent l="0" t="0" r="0" b="9525"/>
            <wp:docPr id="9202330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33022" name=""/>
                    <pic:cNvPicPr/>
                  </pic:nvPicPr>
                  <pic:blipFill>
                    <a:blip r:embed="rId12"/>
                    <a:stretch>
                      <a:fillRect/>
                    </a:stretch>
                  </pic:blipFill>
                  <pic:spPr>
                    <a:xfrm>
                      <a:off x="0" y="0"/>
                      <a:ext cx="5943600" cy="3343275"/>
                    </a:xfrm>
                    <a:prstGeom prst="rect">
                      <a:avLst/>
                    </a:prstGeom>
                  </pic:spPr>
                </pic:pic>
              </a:graphicData>
            </a:graphic>
          </wp:inline>
        </w:drawing>
      </w:r>
    </w:p>
    <w:p w:rsidR="00DE4E9A" w:rsidRDefault="00DE4E9A">
      <w:r>
        <w:t>Slide 8 of 9</w:t>
      </w:r>
    </w:p>
    <w:p w:rsidR="00DE4E9A" w:rsidRDefault="00DE4E9A">
      <w:r>
        <w:rPr>
          <w:noProof/>
        </w:rPr>
        <w:drawing>
          <wp:inline distT="0" distB="0" distL="0" distR="0">
            <wp:extent cx="5943600" cy="3343275"/>
            <wp:effectExtent l="0" t="0" r="0" b="9525"/>
            <wp:docPr id="11366235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23501" name=""/>
                    <pic:cNvPicPr/>
                  </pic:nvPicPr>
                  <pic:blipFill>
                    <a:blip r:embed="rId13"/>
                    <a:stretch>
                      <a:fillRect/>
                    </a:stretch>
                  </pic:blipFill>
                  <pic:spPr>
                    <a:xfrm>
                      <a:off x="0" y="0"/>
                      <a:ext cx="5943600" cy="3343275"/>
                    </a:xfrm>
                    <a:prstGeom prst="rect">
                      <a:avLst/>
                    </a:prstGeom>
                  </pic:spPr>
                </pic:pic>
              </a:graphicData>
            </a:graphic>
          </wp:inline>
        </w:drawing>
      </w:r>
    </w:p>
    <w:p w:rsidR="00DE4E9A" w:rsidRDefault="00DE4E9A">
      <w:r>
        <w:t>Slide 9 of 9</w:t>
      </w:r>
    </w:p>
    <w:p w:rsidR="00D708FF" w:rsidRDefault="00DE4E9A">
      <w:r>
        <w:rPr>
          <w:noProof/>
        </w:rPr>
        <w:drawing>
          <wp:inline distT="0" distB="0" distL="0" distR="0">
            <wp:extent cx="5943600" cy="3343275"/>
            <wp:effectExtent l="0" t="0" r="0" b="9525"/>
            <wp:docPr id="2215575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57566" name=""/>
                    <pic:cNvPicPr/>
                  </pic:nvPicPr>
                  <pic:blipFill>
                    <a:blip r:embed="rId14"/>
                    <a:stretch>
                      <a:fillRect/>
                    </a:stretch>
                  </pic:blipFill>
                  <pic:spPr>
                    <a:xfrm>
                      <a:off x="0" y="0"/>
                      <a:ext cx="5943600" cy="3343275"/>
                    </a:xfrm>
                    <a:prstGeom prst="rect">
                      <a:avLst/>
                    </a:prstGeom>
                  </pic:spPr>
                </pic:pic>
              </a:graphicData>
            </a:graphic>
          </wp:inline>
        </w:drawing>
      </w:r>
      <w:r>
        <w:t xml:space="preserve"> </w:t>
      </w:r>
      <w:hyperlink r:id="rId15" w:history="1">
        <w:r>
          <w:rPr>
            <w:rStyle w:val="Hyperlink"/>
          </w:rPr>
          <w:t xml:space="preserve">Open the .pptx on </w:t>
        </w:r>
        <w:proofErr w:type="spellStart"/>
        <w:r>
          <w:rPr>
            <w:rStyle w:val="Hyperlink"/>
          </w:rPr>
          <w:t>GitHub</w:t>
        </w:r>
      </w:hyperlink>
      <w:r>
        <w:t>.</w:t>
      </w:r>
      <w:r w:rsidR="00E31DE8">
        <w:t>Demo</w:t>
      </w:r>
      <w:proofErr w:type="spellEnd"/>
      <w:r w:rsidR="00E31DE8">
        <w:t xml:space="preserve"> in the deck: crowded = days-to-cover above 5 on the FINRA file, predicted from log volume and market class (n = 19,438 after dropping zero volume). Majority baseline 73.5%. Depth-3 tree 78.2%. Linear discriminant 78.7%. The tree’s first split is log(ADV) ≤ 6.20 (about 500 shares a day). Low-volume OTC names are the crowded class. That is a liquidity story, not a trading signal.</w:t>
      </w:r>
    </w:p>
    <w:p w:rsidR="00D708FF" w:rsidRDefault="00E31DE8">
      <w:r>
        <w:rPr>
          <w:b/>
        </w:rPr>
        <w:t xml:space="preserve">Reflection: </w:t>
      </w:r>
      <w:r>
        <w:t>I spent more time dropping datasets than adding them. Letting go of the CO2 panel hurt. The data was beautiful. The rubric rewards fit over volume: five datasets I can defend beat eight I cannot. Week 5’s linear discriminants also made the FINRA demo useful: a shallow tree and an LDA both recover the same volume split, and both only beat the majority class by about five points.</w:t>
      </w:r>
    </w:p>
    <w:p w:rsidR="00D708FF" w:rsidRDefault="00E31DE8">
      <w:pPr>
        <w:spacing w:before="240"/>
      </w:pPr>
      <w:r>
        <w:rPr>
          <w:b/>
        </w:rPr>
        <w:t>Week 6</w:t>
      </w:r>
    </w:p>
    <w:p w:rsidR="00D708FF" w:rsidRDefault="00E31DE8">
      <w:r>
        <w:rPr>
          <w:b/>
        </w:rPr>
        <w:t xml:space="preserve">Assignment/Capstone work: </w:t>
      </w:r>
      <w:r>
        <w:t>I audited data quality on the three later files and checked, for each dataset, whether regression and classification are actually feasible. Spotify had 450 duplicate rows and 24,259 duplicate track ids (label noise). TMDB had 17 duplicates and zero-coded budgets. The FINRA file (one date) has a blank ticker (Nano Labs), days-to-cover floored at 1.00 on 8,295 rows and capped at 999.99 on 4,034 names, and 3,143 rows with zero average daily volume. I also restructured the paper by section, with the rubric’s ex</w:t>
      </w:r>
      <w:r>
        <w:t>act labels, double spacing, and one page of examples.</w:t>
      </w:r>
    </w:p>
    <w:p w:rsidR="00D708FF" w:rsidRDefault="00E31DE8">
      <w:r>
        <w:rPr>
          <w:b/>
        </w:rPr>
        <w:t xml:space="preserve">Artifact (required): </w:t>
      </w:r>
      <w:r>
        <w:t>per-dataset regression / classification feasibility.</w:t>
      </w:r>
    </w:p>
    <w:tbl>
      <w:tblPr>
        <w:tblStyle w:val="TableGrid"/>
        <w:tblW w:w="0" w:type="auto"/>
        <w:tblLook w:val="04A0" w:firstRow="1" w:lastRow="0" w:firstColumn="1" w:lastColumn="0" w:noHBand="0" w:noVBand="1"/>
      </w:tblPr>
      <w:tblGrid>
        <w:gridCol w:w="2340"/>
        <w:gridCol w:w="2340"/>
        <w:gridCol w:w="2340"/>
        <w:gridCol w:w="2340"/>
      </w:tblGrid>
      <w:tr w:rsidR="00D708FF">
        <w:tc>
          <w:tcPr>
            <w:tcW w:w="2340" w:type="dxa"/>
          </w:tcPr>
          <w:p w:rsidR="00D708FF" w:rsidRDefault="00E31DE8">
            <w:pPr>
              <w:spacing w:line="240" w:lineRule="auto"/>
            </w:pPr>
            <w:r>
              <w:rPr>
                <w:b/>
                <w:sz w:val="20"/>
              </w:rPr>
              <w:t>Dataset</w:t>
            </w:r>
          </w:p>
        </w:tc>
        <w:tc>
          <w:tcPr>
            <w:tcW w:w="2340" w:type="dxa"/>
          </w:tcPr>
          <w:p w:rsidR="00D708FF" w:rsidRDefault="00E31DE8">
            <w:pPr>
              <w:spacing w:line="240" w:lineRule="auto"/>
            </w:pPr>
            <w:r>
              <w:rPr>
                <w:b/>
                <w:sz w:val="20"/>
              </w:rPr>
              <w:t>Regression feasible?</w:t>
            </w:r>
          </w:p>
        </w:tc>
        <w:tc>
          <w:tcPr>
            <w:tcW w:w="2340" w:type="dxa"/>
          </w:tcPr>
          <w:p w:rsidR="00D708FF" w:rsidRDefault="00E31DE8">
            <w:pPr>
              <w:spacing w:line="240" w:lineRule="auto"/>
            </w:pPr>
            <w:r>
              <w:rPr>
                <w:b/>
                <w:sz w:val="20"/>
              </w:rPr>
              <w:t>Classification feasible?</w:t>
            </w:r>
          </w:p>
        </w:tc>
        <w:tc>
          <w:tcPr>
            <w:tcW w:w="2340" w:type="dxa"/>
          </w:tcPr>
          <w:p w:rsidR="00D708FF" w:rsidRDefault="00E31DE8">
            <w:pPr>
              <w:spacing w:line="240" w:lineRule="auto"/>
            </w:pPr>
            <w:r>
              <w:rPr>
                <w:b/>
                <w:sz w:val="20"/>
              </w:rPr>
              <w:t>Note</w:t>
            </w:r>
          </w:p>
        </w:tc>
      </w:tr>
      <w:tr w:rsidR="00D708FF">
        <w:tc>
          <w:tcPr>
            <w:tcW w:w="2340" w:type="dxa"/>
          </w:tcPr>
          <w:p w:rsidR="00D708FF" w:rsidRDefault="00E31DE8">
            <w:pPr>
              <w:spacing w:line="240" w:lineRule="auto"/>
            </w:pPr>
            <w:r>
              <w:rPr>
                <w:sz w:val="20"/>
              </w:rPr>
              <w:t>1 SPY options</w:t>
            </w:r>
          </w:p>
        </w:tc>
        <w:tc>
          <w:tcPr>
            <w:tcW w:w="2340" w:type="dxa"/>
          </w:tcPr>
          <w:p w:rsidR="00D708FF" w:rsidRDefault="00E31DE8">
            <w:pPr>
              <w:spacing w:line="240" w:lineRule="auto"/>
            </w:pPr>
            <w:r>
              <w:rPr>
                <w:sz w:val="20"/>
              </w:rPr>
              <w:t>Yes: quoted IV from moneyness and expiry</w:t>
            </w:r>
          </w:p>
        </w:tc>
        <w:tc>
          <w:tcPr>
            <w:tcW w:w="2340" w:type="dxa"/>
          </w:tcPr>
          <w:p w:rsidR="00D708FF" w:rsidRDefault="00E31DE8">
            <w:pPr>
              <w:spacing w:line="240" w:lineRule="auto"/>
            </w:pPr>
            <w:r>
              <w:rPr>
                <w:sz w:val="20"/>
              </w:rPr>
              <w:t>Yes: liquid vs illiquid from spread, volume, OI</w:t>
            </w:r>
          </w:p>
        </w:tc>
        <w:tc>
          <w:tcPr>
            <w:tcW w:w="2340" w:type="dxa"/>
          </w:tcPr>
          <w:p w:rsidR="00D708FF" w:rsidRDefault="00E31DE8">
            <w:pPr>
              <w:spacing w:line="240" w:lineRule="auto"/>
            </w:pPr>
            <w:r>
              <w:rPr>
                <w:sz w:val="20"/>
              </w:rPr>
              <w:t>625 zero-bid quotes must be dropped first</w:t>
            </w:r>
          </w:p>
        </w:tc>
      </w:tr>
      <w:tr w:rsidR="00D708FF">
        <w:tc>
          <w:tcPr>
            <w:tcW w:w="2340" w:type="dxa"/>
          </w:tcPr>
          <w:p w:rsidR="00D708FF" w:rsidRDefault="00E31DE8">
            <w:pPr>
              <w:spacing w:line="240" w:lineRule="auto"/>
            </w:pPr>
            <w:r>
              <w:rPr>
                <w:sz w:val="20"/>
              </w:rPr>
              <w:t>2 China EV sales</w:t>
            </w:r>
          </w:p>
        </w:tc>
        <w:tc>
          <w:tcPr>
            <w:tcW w:w="2340" w:type="dxa"/>
          </w:tcPr>
          <w:p w:rsidR="00D708FF" w:rsidRDefault="00E31DE8">
            <w:pPr>
              <w:spacing w:line="240" w:lineRule="auto"/>
            </w:pPr>
            <w:r>
              <w:rPr>
                <w:sz w:val="20"/>
              </w:rPr>
              <w:t>Weak: monthly EV units from lags is a time series; rubric discourages it</w:t>
            </w:r>
          </w:p>
        </w:tc>
        <w:tc>
          <w:tcPr>
            <w:tcW w:w="2340" w:type="dxa"/>
          </w:tcPr>
          <w:p w:rsidR="00D708FF" w:rsidRDefault="00E31DE8">
            <w:pPr>
              <w:spacing w:line="240" w:lineRule="auto"/>
            </w:pPr>
            <w:r>
              <w:rPr>
                <w:sz w:val="20"/>
              </w:rPr>
              <w:t>Yes: EV vs gasoline from brand, body, price</w:t>
            </w:r>
          </w:p>
        </w:tc>
        <w:tc>
          <w:tcPr>
            <w:tcW w:w="2340" w:type="dxa"/>
          </w:tcPr>
          <w:p w:rsidR="00D708FF" w:rsidRDefault="00E31DE8">
            <w:pPr>
              <w:spacing w:line="240" w:lineRule="auto"/>
            </w:pPr>
            <w:r>
              <w:rPr>
                <w:sz w:val="20"/>
              </w:rPr>
              <w:t>Prefer the classifier</w:t>
            </w:r>
          </w:p>
        </w:tc>
      </w:tr>
      <w:tr w:rsidR="00D708FF">
        <w:tc>
          <w:tcPr>
            <w:tcW w:w="2340" w:type="dxa"/>
          </w:tcPr>
          <w:p w:rsidR="00D708FF" w:rsidRDefault="00E31DE8">
            <w:pPr>
              <w:spacing w:line="240" w:lineRule="auto"/>
            </w:pPr>
            <w:r>
              <w:rPr>
                <w:sz w:val="20"/>
              </w:rPr>
              <w:t>3 Spotify</w:t>
            </w:r>
          </w:p>
        </w:tc>
        <w:tc>
          <w:tcPr>
            <w:tcW w:w="2340" w:type="dxa"/>
          </w:tcPr>
          <w:p w:rsidR="00D708FF" w:rsidRDefault="00E31DE8">
            <w:pPr>
              <w:spacing w:line="240" w:lineRule="auto"/>
            </w:pPr>
            <w:r>
              <w:rPr>
                <w:sz w:val="20"/>
              </w:rPr>
              <w:t>No natural numeric target I would stand behind</w:t>
            </w:r>
          </w:p>
        </w:tc>
        <w:tc>
          <w:tcPr>
            <w:tcW w:w="2340" w:type="dxa"/>
          </w:tcPr>
          <w:p w:rsidR="00D708FF" w:rsidRDefault="00E31DE8">
            <w:pPr>
              <w:spacing w:line="240" w:lineRule="auto"/>
            </w:pPr>
            <w:r>
              <w:rPr>
                <w:sz w:val="20"/>
              </w:rPr>
              <w:t>Yes: popularity tier or genre after de-dupe</w:t>
            </w:r>
          </w:p>
        </w:tc>
        <w:tc>
          <w:tcPr>
            <w:tcW w:w="2340" w:type="dxa"/>
          </w:tcPr>
          <w:p w:rsidR="00D708FF" w:rsidRDefault="00E31DE8">
            <w:pPr>
              <w:spacing w:line="240" w:lineRule="auto"/>
            </w:pPr>
            <w:r>
              <w:rPr>
                <w:sz w:val="20"/>
              </w:rPr>
              <w:t>24,259 repeated track ids are label noise</w:t>
            </w:r>
          </w:p>
        </w:tc>
      </w:tr>
      <w:tr w:rsidR="00D708FF">
        <w:tc>
          <w:tcPr>
            <w:tcW w:w="2340" w:type="dxa"/>
          </w:tcPr>
          <w:p w:rsidR="00D708FF" w:rsidRDefault="00E31DE8">
            <w:pPr>
              <w:spacing w:line="240" w:lineRule="auto"/>
            </w:pPr>
            <w:r>
              <w:rPr>
                <w:sz w:val="20"/>
              </w:rPr>
              <w:t>4 TMDB</w:t>
            </w:r>
          </w:p>
        </w:tc>
        <w:tc>
          <w:tcPr>
            <w:tcW w:w="2340" w:type="dxa"/>
          </w:tcPr>
          <w:p w:rsidR="00D708FF" w:rsidRDefault="00E31DE8">
            <w:pPr>
              <w:spacing w:line="240" w:lineRule="auto"/>
            </w:pPr>
            <w:r>
              <w:rPr>
                <w:sz w:val="20"/>
              </w:rPr>
              <w:t>Yes: log revenue from budget, genre, timing</w:t>
            </w:r>
          </w:p>
        </w:tc>
        <w:tc>
          <w:tcPr>
            <w:tcW w:w="2340" w:type="dxa"/>
          </w:tcPr>
          <w:p w:rsidR="00D708FF" w:rsidRDefault="00E31DE8">
            <w:pPr>
              <w:spacing w:line="240" w:lineRule="auto"/>
            </w:pPr>
            <w:r>
              <w:rPr>
                <w:sz w:val="20"/>
              </w:rPr>
              <w:t>Yes: hit vs flop from pre-release features</w:t>
            </w:r>
          </w:p>
        </w:tc>
        <w:tc>
          <w:tcPr>
            <w:tcW w:w="2340" w:type="dxa"/>
          </w:tcPr>
          <w:p w:rsidR="00D708FF" w:rsidRDefault="00E31DE8">
            <w:pPr>
              <w:spacing w:line="240" w:lineRule="auto"/>
            </w:pPr>
            <w:r>
              <w:rPr>
                <w:sz w:val="20"/>
              </w:rPr>
              <w:t>Zero budgets are missing, not zero</w:t>
            </w:r>
          </w:p>
        </w:tc>
      </w:tr>
      <w:tr w:rsidR="00D708FF">
        <w:tc>
          <w:tcPr>
            <w:tcW w:w="2340" w:type="dxa"/>
          </w:tcPr>
          <w:p w:rsidR="00D708FF" w:rsidRDefault="00E31DE8">
            <w:pPr>
              <w:spacing w:line="240" w:lineRule="auto"/>
            </w:pPr>
            <w:r>
              <w:rPr>
                <w:sz w:val="20"/>
              </w:rPr>
              <w:t>5 FINRA 30 Sep 2026</w:t>
            </w:r>
          </w:p>
        </w:tc>
        <w:tc>
          <w:tcPr>
            <w:tcW w:w="2340" w:type="dxa"/>
          </w:tcPr>
          <w:p w:rsidR="00D708FF" w:rsidRDefault="00E31DE8">
            <w:pPr>
              <w:spacing w:line="240" w:lineRule="auto"/>
            </w:pPr>
            <w:r>
              <w:rPr>
                <w:sz w:val="20"/>
              </w:rPr>
              <w:t>Yes: log short shares from log volume and market class (R² 0.42)</w:t>
            </w:r>
          </w:p>
        </w:tc>
        <w:tc>
          <w:tcPr>
            <w:tcW w:w="2340" w:type="dxa"/>
          </w:tcPr>
          <w:p w:rsidR="00D708FF" w:rsidRDefault="00E31DE8">
            <w:pPr>
              <w:spacing w:line="240" w:lineRule="auto"/>
            </w:pPr>
            <w:r>
              <w:rPr>
                <w:sz w:val="20"/>
              </w:rPr>
              <w:t>Yes: days-to-cover &gt; 5 from volume tier and class</w:t>
            </w:r>
          </w:p>
        </w:tc>
        <w:tc>
          <w:tcPr>
            <w:tcW w:w="2340" w:type="dxa"/>
          </w:tcPr>
          <w:p w:rsidR="00D708FF" w:rsidRDefault="00E31DE8">
            <w:pPr>
              <w:spacing w:line="240" w:lineRule="auto"/>
            </w:pPr>
            <w:r>
              <w:rPr>
                <w:sz w:val="20"/>
              </w:rPr>
              <w:t>Do not put short shares or days-to-cover in the classifier features</w:t>
            </w:r>
          </w:p>
        </w:tc>
      </w:tr>
    </w:tbl>
    <w:p w:rsidR="00D708FF" w:rsidRDefault="00D708FF"/>
    <w:p w:rsidR="00D708FF" w:rsidRDefault="00E31DE8">
      <w:r>
        <w:rPr>
          <w:b/>
        </w:rPr>
        <w:t xml:space="preserve">Reflection: </w:t>
      </w:r>
      <w:r>
        <w:t>The Spotify label noise was the best puzzle this week. Identical features with contradictory genre labels break naive classification, and the fix changes the problem statement. The other lesson was formatting: double spacing halves the words on a page.</w:t>
      </w:r>
    </w:p>
    <w:sectPr w:rsidR="00D708F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060479">
    <w:abstractNumId w:val="8"/>
  </w:num>
  <w:num w:numId="2" w16cid:durableId="1177505096">
    <w:abstractNumId w:val="6"/>
  </w:num>
  <w:num w:numId="3" w16cid:durableId="1521551822">
    <w:abstractNumId w:val="5"/>
  </w:num>
  <w:num w:numId="4" w16cid:durableId="783958131">
    <w:abstractNumId w:val="4"/>
  </w:num>
  <w:num w:numId="5" w16cid:durableId="2138797727">
    <w:abstractNumId w:val="7"/>
  </w:num>
  <w:num w:numId="6" w16cid:durableId="762339916">
    <w:abstractNumId w:val="3"/>
  </w:num>
  <w:num w:numId="7" w16cid:durableId="452140076">
    <w:abstractNumId w:val="2"/>
  </w:num>
  <w:num w:numId="8" w16cid:durableId="1192913251">
    <w:abstractNumId w:val="1"/>
  </w:num>
  <w:num w:numId="9" w16cid:durableId="497574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22E9"/>
    <w:rsid w:val="00AA1D8D"/>
    <w:rsid w:val="00B47730"/>
    <w:rsid w:val="00CB0664"/>
    <w:rsid w:val="00D708FF"/>
    <w:rsid w:val="00DE4E9A"/>
    <w:rsid w:val="00E31D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9A84490-1AAA-4A4B-98EB-C81A5A4C4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E4E9A"/>
    <w:rPr>
      <w:color w:val="0000FF" w:themeColor="hyperlink"/>
      <w:u w:val="single"/>
    </w:rPr>
  </w:style>
  <w:style w:type="character" w:styleId="UnresolvedMention">
    <w:name w:val="Unresolved Mention"/>
    <w:basedOn w:val="DefaultParagraphFont"/>
    <w:uiPriority w:val="99"/>
    <w:semiHidden/>
    <w:unhideWhenUsed/>
    <w:rsid w:val="00DE4E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hub.com/ehui-lab/ehui-boston/blob/master/milestone1/dx699-week5-datasets.pptx"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1405</Words>
  <Characters>8012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heli heli</cp:lastModifiedBy>
  <cp:revision>2</cp:revision>
  <dcterms:created xsi:type="dcterms:W3CDTF">2013-12-23T23:15:00Z</dcterms:created>
  <dcterms:modified xsi:type="dcterms:W3CDTF">2026-10-17T10:05:00Z</dcterms:modified>
  <cp:category/>
</cp:coreProperties>
</file>