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media/rId44.png" ContentType="image/png"/>
  <Override PartName="/word/media/rId45.png" ContentType="image/png"/>
  <Override PartName="/word/media/rId47.png" ContentType="image/png"/>
  <Override PartName="/word/media/rId50.png" ContentType="image/png"/>
  <Override PartName="/word/media/rId52.png" ContentType="image/png"/>
  <Override PartName="/word/media/rId53.png" ContentType="image/png"/>
  <Override PartName="/word/media/rId55.png" ContentType="image/png"/>
  <Override PartName="/word/media/rId54.png" ContentType="image/png"/>
  <Override PartName="/word/media/rId62.png" ContentType="image/png"/>
  <Override PartName="/word/media/rId83.png" ContentType="image/png"/>
  <Override PartName="/word/media/rId64.png" ContentType="image/png"/>
  <Override PartName="/word/media/rId84.png" ContentType="image/png"/>
  <Override PartName="/word/media/rId86.png" ContentType="image/png"/>
  <Override PartName="/word/media/rId87.png" ContentType="image/png"/>
  <Override PartName="/word/media/rId88.png" ContentType="image/png"/>
  <Override PartName="/word/media/rId66.png" ContentType="image/png"/>
  <Override PartName="/word/media/rId67.png" ContentType="image/png"/>
  <Override PartName="/word/media/rId71.png" ContentType="image/png"/>
  <Override PartName="/word/media/rId72.png" ContentType="image/png"/>
  <Override PartName="/word/media/rId73.png" ContentType="image/png"/>
  <Override PartName="/word/media/rId63.png" ContentType="image/png"/>
  <Override PartName="/word/media/rId75.png" ContentType="image/png"/>
  <Override PartName="/word/media/rId77.png" ContentType="image/png"/>
  <Override PartName="/word/media/rId78.png" ContentType="image/png"/>
  <Override PartName="/word/media/rId79.png" ContentType="image/png"/>
  <Override PartName="/word/media/rId80.png" ContentType="image/png"/>
  <Override PartName="/word/media/rId82.png" ContentType="image/png"/>
  <Override PartName="/word/media/rId60.png" ContentType="image/png"/>
  <Override PartName="/word/media/rId58.png" ContentType="image/png"/>
  <Override PartName="/word/media/rId4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GDSCN</w:t>
      </w:r>
      <w:r>
        <w:t xml:space="preserve"> </w:t>
      </w:r>
      <w:r>
        <w:t xml:space="preserve">Book:</w:t>
      </w:r>
      <w:r>
        <w:t xml:space="preserve"> </w:t>
      </w:r>
      <w:r>
        <w:t xml:space="preserve">SARS</w:t>
      </w:r>
      <w:r>
        <w:t xml:space="preserve"> </w:t>
      </w:r>
      <w:r>
        <w:t xml:space="preserve">with</w:t>
      </w:r>
      <w:r>
        <w:t xml:space="preserve"> </w:t>
      </w:r>
      <w:r>
        <w:t xml:space="preserve">Galaxy</w:t>
      </w:r>
      <w:r>
        <w:t xml:space="preserve"> </w:t>
      </w:r>
      <w:r>
        <w:t xml:space="preserve">on</w:t>
      </w:r>
      <w:r>
        <w:t xml:space="preserve"> </w:t>
      </w:r>
      <w:r>
        <w:t xml:space="preserve">AnVIL</w:t>
      </w:r>
    </w:p>
    <w:p>
      <w:pPr>
        <w:pStyle w:val="Date"/>
      </w:pPr>
      <w:r>
        <w:t xml:space="preserve">March</w:t>
      </w:r>
      <w:r>
        <w:t xml:space="preserve"> </w:t>
      </w:r>
      <w:r>
        <w:t xml:space="preserve">18,</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bout-this-book"/>
    <w:p>
      <w:pPr>
        <w:pStyle w:val="Heading1"/>
      </w:pPr>
      <w:r>
        <w:t xml:space="preserve">About this Book</w:t>
      </w:r>
    </w:p>
    <w:p>
      <w:pPr>
        <w:pStyle w:val="FirstParagraph"/>
      </w:pPr>
      <w:r>
        <w:t xml:space="preserve">This book provides resources for instructors to engage students in a cloud-based Galaxy activity on AnVIL, focused on SARS-CoV-2 variant detection.</w:t>
      </w:r>
    </w:p>
    <w:bookmarkEnd w:id="20"/>
    <w:bookmarkStart w:id="25" w:name="overview-and-learning-objectives"/>
    <w:p>
      <w:pPr>
        <w:pStyle w:val="Heading1"/>
      </w:pPr>
      <w:r>
        <w:rPr>
          <w:rStyle w:val="SectionNumber"/>
        </w:rPr>
        <w:t xml:space="preserve">1</w:t>
      </w:r>
      <w:r>
        <w:tab/>
      </w:r>
      <w:r>
        <w:t xml:space="preserve">Overview and Learning Objectives</w:t>
      </w:r>
    </w:p>
    <w:p>
      <w:pPr>
        <w:pStyle w:val="FirstParagraph"/>
      </w:pPr>
      <w:r>
        <w:t xml:space="preserve">There is a growing need for undergraduate students to learn cutting-edge concepts in genomics data science, including performing analysis on the cloud instead of a personal computer. This lesson aims to introduce a mutant detection bioinformatics pipeline based on a publicly available genetic sample of SARS-CoV-2. Students will be introduced to the sequencing revolution, variants, genetic alignments, and essentials of cloud computing prior to the lab activity. During the lesson, students will work hands-on with the point-and-click Galaxy interface on the</w:t>
      </w:r>
      <w:r>
        <w:t xml:space="preserve"> </w:t>
      </w:r>
      <w:hyperlink r:id="rId21">
        <w:r>
          <w:rPr>
            <w:rStyle w:val="Hyperlink"/>
          </w:rPr>
          <w:t xml:space="preserve">AnVIL</w:t>
        </w:r>
      </w:hyperlink>
      <w:r>
        <w:t xml:space="preserve"> </w:t>
      </w:r>
      <w:r>
        <w:t xml:space="preserve">cloud computing resource to check data, perform an alignment, and visualize their results.</w:t>
      </w:r>
    </w:p>
    <w:bookmarkStart w:id="22" w:name="activity-context"/>
    <w:p>
      <w:pPr>
        <w:pStyle w:val="Heading2"/>
      </w:pPr>
      <w:r>
        <w:rPr>
          <w:rStyle w:val="SectionNumber"/>
        </w:rPr>
        <w:t xml:space="preserve">1.1</w:t>
      </w:r>
      <w:r>
        <w:tab/>
      </w:r>
      <w:r>
        <w:t xml:space="preserve">Activity Context</w:t>
      </w:r>
    </w:p>
    <w:p>
      <w:pPr>
        <w:pStyle w:val="FirstParagraph"/>
      </w:pPr>
      <w:r>
        <w:rPr>
          <w:bCs/>
          <w:b/>
        </w:rPr>
        <w:t xml:space="preserve">Course Audience</w:t>
      </w:r>
    </w:p>
    <w:p>
      <w:pPr>
        <w:numPr>
          <w:ilvl w:val="0"/>
          <w:numId w:val="1001"/>
        </w:numPr>
        <w:pStyle w:val="Compact"/>
      </w:pPr>
      <w:r>
        <w:t xml:space="preserve">Undergraduate biology majors</w:t>
      </w:r>
    </w:p>
    <w:p>
      <w:pPr>
        <w:numPr>
          <w:ilvl w:val="0"/>
          <w:numId w:val="1001"/>
        </w:numPr>
        <w:pStyle w:val="Compact"/>
      </w:pPr>
      <w:r>
        <w:t xml:space="preserve">Graduate students with less exposure to bioinformatics</w:t>
      </w:r>
    </w:p>
    <w:p>
      <w:pPr>
        <w:pStyle w:val="FirstParagraph"/>
      </w:pPr>
      <w:r>
        <w:rPr>
          <w:bCs/>
          <w:b/>
        </w:rPr>
        <w:t xml:space="preserve">Course Prerequisites</w:t>
      </w:r>
    </w:p>
    <w:p>
      <w:pPr>
        <w:numPr>
          <w:ilvl w:val="0"/>
          <w:numId w:val="1002"/>
        </w:numPr>
        <w:pStyle w:val="Compact"/>
      </w:pPr>
      <w:r>
        <w:t xml:space="preserve">Layman understanding of genetics (understanding of DNA, genes, trait inheritance)</w:t>
      </w:r>
    </w:p>
    <w:p>
      <w:pPr>
        <w:numPr>
          <w:ilvl w:val="0"/>
          <w:numId w:val="1002"/>
        </w:numPr>
        <w:pStyle w:val="Compact"/>
      </w:pPr>
      <w:r>
        <w:t xml:space="preserve">Some previous exposure to the central dogma of molecular biology</w:t>
      </w:r>
    </w:p>
    <w:p>
      <w:pPr>
        <w:pStyle w:val="FirstParagraph"/>
      </w:pPr>
      <w:r>
        <w:rPr>
          <w:bCs/>
          <w:b/>
        </w:rPr>
        <w:t xml:space="preserve">Class Type</w:t>
      </w:r>
    </w:p>
    <w:p>
      <w:pPr>
        <w:numPr>
          <w:ilvl w:val="0"/>
          <w:numId w:val="1003"/>
        </w:numPr>
        <w:pStyle w:val="Compact"/>
      </w:pPr>
      <w:r>
        <w:t xml:space="preserve">Lab</w:t>
      </w:r>
    </w:p>
    <w:p>
      <w:pPr>
        <w:numPr>
          <w:ilvl w:val="0"/>
          <w:numId w:val="1003"/>
        </w:numPr>
        <w:pStyle w:val="Compact"/>
      </w:pPr>
      <w:r>
        <w:t xml:space="preserve">Computer-based</w:t>
      </w:r>
    </w:p>
    <w:p>
      <w:pPr>
        <w:pStyle w:val="FirstParagraph"/>
      </w:pPr>
      <w:r>
        <w:rPr>
          <w:bCs/>
          <w:b/>
        </w:rPr>
        <w:t xml:space="preserve">Class Size</w:t>
      </w:r>
    </w:p>
    <w:p>
      <w:pPr>
        <w:numPr>
          <w:ilvl w:val="0"/>
          <w:numId w:val="1004"/>
        </w:numPr>
        <w:pStyle w:val="Compact"/>
      </w:pPr>
      <w:r>
        <w:t xml:space="preserve">1-50</w:t>
      </w:r>
    </w:p>
    <w:p>
      <w:pPr>
        <w:pStyle w:val="FirstParagraph"/>
      </w:pPr>
      <w:r>
        <w:rPr>
          <w:bCs/>
          <w:b/>
        </w:rPr>
        <w:t xml:space="preserve">Lesson Duration</w:t>
      </w:r>
    </w:p>
    <w:p>
      <w:pPr>
        <w:numPr>
          <w:ilvl w:val="0"/>
          <w:numId w:val="1005"/>
        </w:numPr>
        <w:pStyle w:val="Compact"/>
      </w:pPr>
      <w:r>
        <w:t xml:space="preserve">20-30 minute pre-lab lecture</w:t>
      </w:r>
    </w:p>
    <w:p>
      <w:pPr>
        <w:numPr>
          <w:ilvl w:val="0"/>
          <w:numId w:val="1005"/>
        </w:numPr>
        <w:pStyle w:val="Compact"/>
      </w:pPr>
      <w:r>
        <w:t xml:space="preserve">3 hour lab for undergraduate students</w:t>
      </w:r>
    </w:p>
    <w:p>
      <w:pPr>
        <w:numPr>
          <w:ilvl w:val="0"/>
          <w:numId w:val="1005"/>
        </w:numPr>
        <w:pStyle w:val="Compact"/>
      </w:pPr>
      <w:r>
        <w:t xml:space="preserve">1 hour lab for graduate students</w:t>
      </w:r>
    </w:p>
    <w:p>
      <w:pPr>
        <w:numPr>
          <w:ilvl w:val="0"/>
          <w:numId w:val="1005"/>
        </w:numPr>
        <w:pStyle w:val="Compact"/>
      </w:pPr>
      <w:r>
        <w:t xml:space="preserve">Additional short lecture modules</w:t>
      </w:r>
    </w:p>
    <w:p>
      <w:pPr>
        <w:pStyle w:val="FirstParagraph"/>
      </w:pPr>
      <w:r>
        <w:rPr>
          <w:bCs/>
          <w:b/>
        </w:rPr>
        <w:t xml:space="preserve">Assessment Type</w:t>
      </w:r>
    </w:p>
    <w:p>
      <w:pPr>
        <w:numPr>
          <w:ilvl w:val="0"/>
          <w:numId w:val="1006"/>
        </w:numPr>
        <w:pStyle w:val="Compact"/>
      </w:pPr>
      <w:r>
        <w:t xml:space="preserve">Short answer questions at each lab stage</w:t>
      </w:r>
    </w:p>
    <w:bookmarkEnd w:id="22"/>
    <w:bookmarkStart w:id="24" w:name="learning-objectives"/>
    <w:p>
      <w:pPr>
        <w:pStyle w:val="Heading2"/>
      </w:pPr>
      <w:r>
        <w:rPr>
          <w:rStyle w:val="SectionNumber"/>
        </w:rPr>
        <w:t xml:space="preserve">1.2</w:t>
      </w:r>
      <w:r>
        <w:tab/>
      </w:r>
      <w:r>
        <w:t xml:space="preserve">Learning Objectives</w:t>
      </w:r>
    </w:p>
    <w:p>
      <w:pPr>
        <w:pStyle w:val="FirstParagraph"/>
      </w:pPr>
      <w:r>
        <w:t xml:space="preserve">Learning objectives for this activity come from the</w:t>
      </w:r>
      <w:r>
        <w:t xml:space="preserve"> </w:t>
      </w:r>
      <w:hyperlink r:id="rId23">
        <w:r>
          <w:rPr>
            <w:rStyle w:val="Hyperlink"/>
          </w:rPr>
          <w:t xml:space="preserve">Genetics Core Competencies</w:t>
        </w:r>
      </w:hyperlink>
      <w:r>
        <w:t xml:space="preserve">:</w:t>
      </w:r>
    </w:p>
    <w:p>
      <w:pPr>
        <w:numPr>
          <w:ilvl w:val="0"/>
          <w:numId w:val="1007"/>
        </w:numPr>
        <w:pStyle w:val="Compact"/>
      </w:pPr>
      <w:r>
        <w:t xml:space="preserve">Gather and evaluate experimental evidence, including qualitative and quantitative data</w:t>
      </w:r>
    </w:p>
    <w:p>
      <w:pPr>
        <w:numPr>
          <w:ilvl w:val="0"/>
          <w:numId w:val="1007"/>
        </w:numPr>
        <w:pStyle w:val="Compact"/>
      </w:pPr>
      <w:r>
        <w:t xml:space="preserve">Generate and interpret graphs displaying experimental results</w:t>
      </w:r>
    </w:p>
    <w:p>
      <w:pPr>
        <w:numPr>
          <w:ilvl w:val="0"/>
          <w:numId w:val="1007"/>
        </w:numPr>
        <w:pStyle w:val="Compact"/>
      </w:pPr>
      <w:r>
        <w:t xml:space="preserve">Critique large data sets and use bioinformatics to assess genetics data</w:t>
      </w:r>
    </w:p>
    <w:p>
      <w:pPr>
        <w:numPr>
          <w:ilvl w:val="0"/>
          <w:numId w:val="1007"/>
        </w:numPr>
        <w:pStyle w:val="Compact"/>
      </w:pPr>
      <w:r>
        <w:t xml:space="preserve">Tap into the interdisciplinary nature of science</w:t>
      </w:r>
    </w:p>
    <w:bookmarkEnd w:id="24"/>
    <w:bookmarkEnd w:id="25"/>
    <w:bookmarkStart w:id="26" w:name="lesson-plan"/>
    <w:p>
      <w:pPr>
        <w:pStyle w:val="Heading1"/>
      </w:pPr>
      <w:r>
        <w:rPr>
          <w:rStyle w:val="SectionNumber"/>
        </w:rPr>
        <w:t xml:space="preserve">2</w:t>
      </w:r>
      <w:r>
        <w:tab/>
      </w:r>
      <w:r>
        <w:t xml:space="preserve">Lesson Plan</w:t>
      </w:r>
    </w:p>
    <w:p>
      <w:pPr>
        <w:pStyle w:val="FirstParagraph"/>
      </w:pPr>
      <w:r>
        <w:t xml:space="preserve">Coming soon!</w:t>
      </w:r>
    </w:p>
    <w:bookmarkEnd w:id="26"/>
    <w:bookmarkStart w:id="28" w:name="what-is-a-variant"/>
    <w:p>
      <w:pPr>
        <w:pStyle w:val="Heading1"/>
      </w:pPr>
      <w:r>
        <w:rPr>
          <w:rStyle w:val="SectionNumber"/>
        </w:rPr>
        <w:t xml:space="preserve">3</w:t>
      </w:r>
      <w:r>
        <w:tab/>
      </w:r>
      <w:r>
        <w:t xml:space="preserve">What Is a Variant?</w:t>
      </w:r>
    </w:p>
    <w:p>
      <w:pPr>
        <w:pStyle w:val="FirstParagraph"/>
      </w:pPr>
      <w:r>
        <w:t xml:space="preserve">This lecture module introduces genetic variants. It provides several examples of genetic variants, background on the structure of DNA, and a review of the</w:t>
      </w:r>
      <w:r>
        <w:t xml:space="preserve"> </w:t>
      </w:r>
      <w:r>
        <w:t xml:space="preserve">“</w:t>
      </w:r>
      <w:r>
        <w:t xml:space="preserve">Central Dogma</w:t>
      </w:r>
      <w:r>
        <w:t xml:space="preserve">”</w:t>
      </w:r>
      <w:r>
        <w:t xml:space="preserve"> </w:t>
      </w:r>
      <w:r>
        <w:t xml:space="preserve">of molecular biology - the process of turning DNA into RNA into protein.</w:t>
      </w:r>
    </w:p>
    <w:p>
      <w:pPr>
        <w:pStyle w:val="BodyText"/>
      </w:pPr>
      <w:r>
        <w:rPr>
          <w:bCs/>
          <w:b/>
        </w:rPr>
        <w:t xml:space="preserve">Learning Objectives</w:t>
      </w:r>
    </w:p>
    <w:p>
      <w:pPr>
        <w:numPr>
          <w:ilvl w:val="0"/>
          <w:numId w:val="1008"/>
        </w:numPr>
        <w:pStyle w:val="Compact"/>
      </w:pPr>
      <w:r>
        <w:t xml:space="preserve">Answer</w:t>
      </w:r>
      <w:r>
        <w:t xml:space="preserve"> </w:t>
      </w:r>
      <w:r>
        <w:t xml:space="preserve">“</w:t>
      </w:r>
      <w:r>
        <w:t xml:space="preserve">what is a genetic variant?</w:t>
      </w:r>
      <w:r>
        <w:t xml:space="preserve">”</w:t>
      </w:r>
    </w:p>
    <w:p>
      <w:pPr>
        <w:numPr>
          <w:ilvl w:val="0"/>
          <w:numId w:val="1008"/>
        </w:numPr>
        <w:pStyle w:val="Compact"/>
      </w:pPr>
      <w:r>
        <w:t xml:space="preserve">Learn about the molecular structure of a variant</w:t>
      </w:r>
    </w:p>
    <w:p>
      <w:pPr>
        <w:pStyle w:val="FirstParagraph"/>
      </w:pPr>
      <w:r>
        <w:t xml:space="preserve">You can view and download the Google Slides</w:t>
      </w:r>
      <w:r>
        <w:t xml:space="preserve"> </w:t>
      </w:r>
      <w:hyperlink r:id="rId27">
        <w:r>
          <w:rPr>
            <w:rStyle w:val="Hyperlink"/>
          </w:rPr>
          <w:t xml:space="preserve">here</w:t>
        </w:r>
      </w:hyperlink>
      <w:r>
        <w:t xml:space="preserve">.</w:t>
      </w:r>
    </w:p>
    <w:bookmarkEnd w:id="28"/>
    <w:bookmarkStart w:id="30" w:name="the-sequencing-revolution"/>
    <w:p>
      <w:pPr>
        <w:pStyle w:val="Heading1"/>
      </w:pPr>
      <w:r>
        <w:rPr>
          <w:rStyle w:val="SectionNumber"/>
        </w:rPr>
        <w:t xml:space="preserve">4</w:t>
      </w:r>
      <w:r>
        <w:tab/>
      </w:r>
      <w:r>
        <w:t xml:space="preserve">The Sequencing Revolution</w:t>
      </w:r>
    </w:p>
    <w:p>
      <w:pPr>
        <w:pStyle w:val="FirstParagraph"/>
      </w:pPr>
      <w:r>
        <w:t xml:space="preserve">This lecture module introduces the history of the sequencing revolution. It highlights the enormous proliferation of genomic data that has accompanied the rapidly growing technology. It also suggests opportunities for careers in genomics, as well as an in-depth look at how some sequencing technologies actually work.</w:t>
      </w:r>
    </w:p>
    <w:p>
      <w:pPr>
        <w:pStyle w:val="BodyText"/>
      </w:pPr>
      <w:r>
        <w:rPr>
          <w:bCs/>
          <w:b/>
        </w:rPr>
        <w:t xml:space="preserve">Learning Objectives</w:t>
      </w:r>
    </w:p>
    <w:p>
      <w:pPr>
        <w:numPr>
          <w:ilvl w:val="0"/>
          <w:numId w:val="1009"/>
        </w:numPr>
        <w:pStyle w:val="Compact"/>
      </w:pPr>
      <w:r>
        <w:t xml:space="preserve">Learn the history the sequencing revolution</w:t>
      </w:r>
    </w:p>
    <w:p>
      <w:pPr>
        <w:numPr>
          <w:ilvl w:val="0"/>
          <w:numId w:val="1009"/>
        </w:numPr>
        <w:pStyle w:val="Compact"/>
      </w:pPr>
      <w:r>
        <w:t xml:space="preserve">Introduce the sequencing workforce</w:t>
      </w:r>
    </w:p>
    <w:p>
      <w:pPr>
        <w:numPr>
          <w:ilvl w:val="0"/>
          <w:numId w:val="1009"/>
        </w:numPr>
        <w:pStyle w:val="Compact"/>
      </w:pPr>
      <w:r>
        <w:t xml:space="preserve">Explore the evolution of sequencing technology</w:t>
      </w:r>
    </w:p>
    <w:p>
      <w:pPr>
        <w:pStyle w:val="FirstParagraph"/>
      </w:pPr>
      <w:r>
        <w:t xml:space="preserve">You can view and download the Google Slides</w:t>
      </w:r>
      <w:r>
        <w:t xml:space="preserve"> </w:t>
      </w:r>
      <w:hyperlink r:id="rId29">
        <w:r>
          <w:rPr>
            <w:rStyle w:val="Hyperlink"/>
          </w:rPr>
          <w:t xml:space="preserve">here</w:t>
        </w:r>
      </w:hyperlink>
      <w:r>
        <w:t xml:space="preserve">.</w:t>
      </w:r>
    </w:p>
    <w:bookmarkEnd w:id="30"/>
    <w:bookmarkStart w:id="32" w:name="alignments"/>
    <w:p>
      <w:pPr>
        <w:pStyle w:val="Heading1"/>
      </w:pPr>
      <w:r>
        <w:rPr>
          <w:rStyle w:val="SectionNumber"/>
        </w:rPr>
        <w:t xml:space="preserve">5</w:t>
      </w:r>
      <w:r>
        <w:tab/>
      </w:r>
      <w:r>
        <w:t xml:space="preserve">Alignments</w:t>
      </w:r>
    </w:p>
    <w:p>
      <w:pPr>
        <w:pStyle w:val="FirstParagraph"/>
      </w:pPr>
      <w:r>
        <w:t xml:space="preserve">This lecture module introduces the structure of genomic data and how alignments work. It touches on the</w:t>
      </w:r>
      <w:r>
        <w:t xml:space="preserve"> </w:t>
      </w:r>
      <w:r>
        <w:t xml:space="preserve">“</w:t>
      </w:r>
      <w:r>
        <w:t xml:space="preserve">shredded book</w:t>
      </w:r>
      <w:r>
        <w:t xml:space="preserve">”</w:t>
      </w:r>
      <w:r>
        <w:t xml:space="preserve"> </w:t>
      </w:r>
      <w:r>
        <w:t xml:space="preserve">analogy, demonstrates how short chunks of data can be compared to find variation, and reviews data files needed for alignments, including reference genomes and read data. It also reviews some diverse applications of variant detection made possible via alignment tools.</w:t>
      </w:r>
    </w:p>
    <w:p>
      <w:pPr>
        <w:pStyle w:val="BodyText"/>
      </w:pPr>
      <w:r>
        <w:rPr>
          <w:bCs/>
          <w:b/>
        </w:rPr>
        <w:t xml:space="preserve">Learning Objectives</w:t>
      </w:r>
    </w:p>
    <w:p>
      <w:pPr>
        <w:numPr>
          <w:ilvl w:val="0"/>
          <w:numId w:val="1010"/>
        </w:numPr>
        <w:pStyle w:val="Compact"/>
      </w:pPr>
      <w:r>
        <w:t xml:space="preserve">Learn about data as</w:t>
      </w:r>
      <w:r>
        <w:t xml:space="preserve"> </w:t>
      </w:r>
      <w:r>
        <w:t xml:space="preserve">“</w:t>
      </w:r>
      <w:r>
        <w:t xml:space="preserve">reads</w:t>
      </w:r>
      <w:r>
        <w:t xml:space="preserve">”</w:t>
      </w:r>
      <w:r>
        <w:t xml:space="preserve"> </w:t>
      </w:r>
      <w:r>
        <w:t xml:space="preserve">&amp; shredded books</w:t>
      </w:r>
    </w:p>
    <w:p>
      <w:pPr>
        <w:numPr>
          <w:ilvl w:val="0"/>
          <w:numId w:val="1010"/>
        </w:numPr>
        <w:pStyle w:val="Compact"/>
      </w:pPr>
      <w:r>
        <w:t xml:space="preserve">Become familiar with reference genomes and alignments</w:t>
      </w:r>
    </w:p>
    <w:p>
      <w:pPr>
        <w:numPr>
          <w:ilvl w:val="0"/>
          <w:numId w:val="1010"/>
        </w:numPr>
        <w:pStyle w:val="Compact"/>
      </w:pPr>
      <w:r>
        <w:t xml:space="preserve">Explore the file structure of genomic data and quality scoring</w:t>
      </w:r>
    </w:p>
    <w:p>
      <w:pPr>
        <w:pStyle w:val="FirstParagraph"/>
      </w:pPr>
      <w:r>
        <w:t xml:space="preserve">You can view and download the Google Slides</w:t>
      </w:r>
      <w:r>
        <w:t xml:space="preserve"> </w:t>
      </w:r>
      <w:hyperlink r:id="rId31">
        <w:r>
          <w:rPr>
            <w:rStyle w:val="Hyperlink"/>
          </w:rPr>
          <w:t xml:space="preserve">here</w:t>
        </w:r>
      </w:hyperlink>
      <w:r>
        <w:t xml:space="preserve">.</w:t>
      </w:r>
    </w:p>
    <w:bookmarkEnd w:id="32"/>
    <w:bookmarkStart w:id="34" w:name="cloud-computing"/>
    <w:p>
      <w:pPr>
        <w:pStyle w:val="Heading1"/>
      </w:pPr>
      <w:r>
        <w:rPr>
          <w:rStyle w:val="SectionNumber"/>
        </w:rPr>
        <w:t xml:space="preserve">6</w:t>
      </w:r>
      <w:r>
        <w:tab/>
      </w:r>
      <w:r>
        <w:t xml:space="preserve">Cloud Computing</w:t>
      </w:r>
    </w:p>
    <w:p>
      <w:pPr>
        <w:pStyle w:val="FirstParagraph"/>
      </w:pPr>
      <w:r>
        <w:t xml:space="preserve">This lecture module introduces cloud computing and computing architecture. It reviews the utility of cloud computing for genomics and also highlights how all modules of this activity fit together.</w:t>
      </w:r>
    </w:p>
    <w:p>
      <w:pPr>
        <w:pStyle w:val="BodyText"/>
      </w:pPr>
      <w:r>
        <w:rPr>
          <w:bCs/>
          <w:b/>
        </w:rPr>
        <w:t xml:space="preserve">Learning Objectives</w:t>
      </w:r>
    </w:p>
    <w:p>
      <w:pPr>
        <w:numPr>
          <w:ilvl w:val="0"/>
          <w:numId w:val="1011"/>
        </w:numPr>
        <w:pStyle w:val="Compact"/>
      </w:pPr>
      <w:r>
        <w:t xml:space="preserve">Learn about different types of computers</w:t>
      </w:r>
    </w:p>
    <w:p>
      <w:pPr>
        <w:numPr>
          <w:ilvl w:val="0"/>
          <w:numId w:val="1011"/>
        </w:numPr>
        <w:pStyle w:val="Compact"/>
      </w:pPr>
      <w:r>
        <w:t xml:space="preserve">Answer the question</w:t>
      </w:r>
      <w:r>
        <w:t xml:space="preserve"> </w:t>
      </w:r>
      <w:r>
        <w:t xml:space="preserve">“</w:t>
      </w:r>
      <w:r>
        <w:t xml:space="preserve">What is cloud computing?</w:t>
      </w:r>
      <w:r>
        <w:t xml:space="preserve">”</w:t>
      </w:r>
    </w:p>
    <w:p>
      <w:pPr>
        <w:numPr>
          <w:ilvl w:val="0"/>
          <w:numId w:val="1011"/>
        </w:numPr>
        <w:pStyle w:val="Compact"/>
      </w:pPr>
      <w:r>
        <w:t xml:space="preserve">Learn about cloud computing for genomics</w:t>
      </w:r>
    </w:p>
    <w:p>
      <w:pPr>
        <w:numPr>
          <w:ilvl w:val="0"/>
          <w:numId w:val="1011"/>
        </w:numPr>
        <w:pStyle w:val="Compact"/>
      </w:pPr>
      <w:r>
        <w:t xml:space="preserve">Revisit the big picture, from variants to alignments</w:t>
      </w:r>
    </w:p>
    <w:p>
      <w:pPr>
        <w:pStyle w:val="FirstParagraph"/>
      </w:pPr>
      <w:r>
        <w:t xml:space="preserve">You can view and download the Google Slides</w:t>
      </w:r>
      <w:r>
        <w:t xml:space="preserve"> </w:t>
      </w:r>
      <w:hyperlink r:id="rId33">
        <w:r>
          <w:rPr>
            <w:rStyle w:val="Hyperlink"/>
          </w:rPr>
          <w:t xml:space="preserve">here</w:t>
        </w:r>
      </w:hyperlink>
      <w:r>
        <w:t xml:space="preserve">.</w:t>
      </w:r>
    </w:p>
    <w:bookmarkEnd w:id="34"/>
    <w:bookmarkStart w:id="36" w:name="overview-video"/>
    <w:p>
      <w:pPr>
        <w:pStyle w:val="Heading1"/>
      </w:pPr>
      <w:r>
        <w:rPr>
          <w:rStyle w:val="SectionNumber"/>
        </w:rPr>
        <w:t xml:space="preserve">7</w:t>
      </w:r>
      <w:r>
        <w:tab/>
      </w:r>
      <w:r>
        <w:t xml:space="preserve">Overview Video</w:t>
      </w:r>
    </w:p>
    <w:p>
      <w:pPr>
        <w:pStyle w:val="FirstParagraph"/>
      </w:pPr>
      <w:r>
        <w:t xml:space="preserve">This overview video introduces the lab activity. It briefly reviews some of the essential background for the activity, highlights key areas to focus on for activity assessment questions, and provides a detailed walk-through of the steps - from starting AnVIL and Galaxy to browsing the genome and shutting down the cloud computing instance.</w:t>
      </w:r>
    </w:p>
    <w:p>
      <w:pPr>
        <w:pStyle w:val="BodyText"/>
      </w:pPr>
      <w:r>
        <w:rPr>
          <w:bCs/>
          <w:b/>
        </w:rPr>
        <w:t xml:space="preserve">Learning Objectives</w:t>
      </w:r>
    </w:p>
    <w:p>
      <w:pPr>
        <w:numPr>
          <w:ilvl w:val="0"/>
          <w:numId w:val="1012"/>
        </w:numPr>
        <w:pStyle w:val="Compact"/>
      </w:pPr>
      <w:r>
        <w:t xml:space="preserve">Review lecture content</w:t>
      </w:r>
    </w:p>
    <w:p>
      <w:pPr>
        <w:numPr>
          <w:ilvl w:val="0"/>
          <w:numId w:val="1012"/>
        </w:numPr>
        <w:pStyle w:val="Compact"/>
      </w:pPr>
      <w:r>
        <w:t xml:space="preserve">Review big steps in the analysis</w:t>
      </w:r>
    </w:p>
    <w:p>
      <w:pPr>
        <w:numPr>
          <w:ilvl w:val="0"/>
          <w:numId w:val="1012"/>
        </w:numPr>
        <w:pStyle w:val="Compact"/>
      </w:pPr>
      <w:r>
        <w:t xml:space="preserve">Cover the setup on AnVIL in detail</w:t>
      </w:r>
    </w:p>
    <w:p>
      <w:pPr>
        <w:pStyle w:val="FirstParagraph"/>
      </w:pPr>
      <w:r>
        <w:t xml:space="preserve">You can view and download the Google Slides</w:t>
      </w:r>
      <w:r>
        <w:t xml:space="preserve"> </w:t>
      </w:r>
      <w:hyperlink r:id="rId35">
        <w:r>
          <w:rPr>
            <w:rStyle w:val="Hyperlink"/>
          </w:rPr>
          <w:t xml:space="preserve">here</w:t>
        </w:r>
      </w:hyperlink>
      <w:r>
        <w:t xml:space="preserve">.</w:t>
      </w:r>
    </w:p>
    <w:bookmarkEnd w:id="36"/>
    <w:bookmarkStart w:id="90" w:name="student-activity-guide"/>
    <w:p>
      <w:pPr>
        <w:pStyle w:val="Heading1"/>
      </w:pPr>
      <w:r>
        <w:rPr>
          <w:rStyle w:val="SectionNumber"/>
        </w:rPr>
        <w:t xml:space="preserve">8</w:t>
      </w:r>
      <w:r>
        <w:tab/>
      </w:r>
      <w:r>
        <w:t xml:space="preserve">Student Activity Guide</w:t>
      </w:r>
    </w:p>
    <w:p>
      <w:pPr>
        <w:pStyle w:val="FirstParagraph"/>
      </w:pPr>
      <w:r>
        <w:t xml:space="preserve">This chapter contains the student instructions for the SARS-CoV-2 Variant Detection with Galaxy activity.</w:t>
      </w:r>
    </w:p>
    <w:bookmarkStart w:id="40" w:name="introduction"/>
    <w:p>
      <w:pPr>
        <w:pStyle w:val="Heading2"/>
      </w:pPr>
      <w:r>
        <w:rPr>
          <w:rStyle w:val="SectionNumber"/>
        </w:rPr>
        <w:t xml:space="preserve">8.1</w:t>
      </w:r>
      <w:r>
        <w:tab/>
      </w:r>
      <w:r>
        <w:t xml:space="preserve">Introduction</w:t>
      </w:r>
    </w:p>
    <w:p>
      <w:pPr>
        <w:pStyle w:val="FirstParagraph"/>
      </w:pPr>
      <w:r>
        <w:t xml:space="preserve">Galaxy is a free, relatively easy to use bioinformatics implementation package. It changes command line programs into GUI based programs.</w:t>
      </w:r>
    </w:p>
    <w:bookmarkStart w:id="38" w:name="before-you-start"/>
    <w:p>
      <w:pPr>
        <w:pStyle w:val="Heading3"/>
      </w:pPr>
      <w:r>
        <w:rPr>
          <w:rStyle w:val="SectionNumber"/>
        </w:rPr>
        <w:t xml:space="preserve">8.1.1</w:t>
      </w:r>
      <w:r>
        <w:tab/>
      </w:r>
      <w:r>
        <w:t xml:space="preserve">Before You Start</w:t>
      </w:r>
    </w:p>
    <w:p>
      <w:pPr>
        <w:pStyle w:val="FirstParagraph"/>
      </w:pPr>
      <w:r>
        <w:t xml:space="preserve">Make sure you have an AnVIL account (refer to</w:t>
      </w:r>
      <w:r>
        <w:t xml:space="preserve"> </w:t>
      </w:r>
      <w:hyperlink r:id="rId37">
        <w:r>
          <w:rPr>
            <w:rStyle w:val="Hyperlink"/>
          </w:rPr>
          <w:t xml:space="preserve">https://jhudatascience.org/AnVIL_Book_Instructor_Guide/student-account-setup.html</w:t>
        </w:r>
      </w:hyperlink>
      <w:r>
        <w:t xml:space="preserve">)</w:t>
      </w:r>
    </w:p>
    <w:bookmarkEnd w:id="38"/>
    <w:bookmarkStart w:id="39" w:name="objectives"/>
    <w:p>
      <w:pPr>
        <w:pStyle w:val="Heading3"/>
      </w:pPr>
      <w:r>
        <w:rPr>
          <w:rStyle w:val="SectionNumber"/>
        </w:rPr>
        <w:t xml:space="preserve">8.1.2</w:t>
      </w:r>
      <w:r>
        <w:tab/>
      </w:r>
      <w:r>
        <w:t xml:space="preserve">Objectives</w:t>
      </w:r>
    </w:p>
    <w:p>
      <w:pPr>
        <w:pStyle w:val="FirstParagraph"/>
      </w:pPr>
      <w:r>
        <w:t xml:space="preserve">This activity will teach you how to use the AnVIL platform to:</w:t>
      </w:r>
    </w:p>
    <w:p>
      <w:pPr>
        <w:numPr>
          <w:ilvl w:val="0"/>
          <w:numId w:val="1013"/>
        </w:numPr>
        <w:pStyle w:val="Compact"/>
      </w:pPr>
      <w:r>
        <w:t xml:space="preserve">Get started working on AnVIL</w:t>
      </w:r>
    </w:p>
    <w:p>
      <w:pPr>
        <w:numPr>
          <w:ilvl w:val="0"/>
          <w:numId w:val="1013"/>
        </w:numPr>
        <w:pStyle w:val="Compact"/>
      </w:pPr>
      <w:r>
        <w:t xml:space="preserve">Launch the Galaxy tool</w:t>
      </w:r>
    </w:p>
    <w:p>
      <w:pPr>
        <w:numPr>
          <w:ilvl w:val="0"/>
          <w:numId w:val="1013"/>
        </w:numPr>
        <w:pStyle w:val="Compact"/>
      </w:pPr>
      <w:r>
        <w:t xml:space="preserve">Examine fastq sequence data files</w:t>
      </w:r>
    </w:p>
    <w:p>
      <w:pPr>
        <w:numPr>
          <w:ilvl w:val="0"/>
          <w:numId w:val="1013"/>
        </w:numPr>
        <w:pStyle w:val="Compact"/>
      </w:pPr>
      <w:r>
        <w:t xml:space="preserve">Align sequence data to a reference genome</w:t>
      </w:r>
    </w:p>
    <w:p>
      <w:pPr>
        <w:numPr>
          <w:ilvl w:val="0"/>
          <w:numId w:val="1013"/>
        </w:numPr>
        <w:pStyle w:val="Compact"/>
      </w:pPr>
      <w:r>
        <w:t xml:space="preserve">View the aligned data and reference genomes interactively</w:t>
      </w:r>
    </w:p>
    <w:bookmarkEnd w:id="39"/>
    <w:bookmarkEnd w:id="40"/>
    <w:bookmarkStart w:id="57" w:name="getting-started"/>
    <w:p>
      <w:pPr>
        <w:pStyle w:val="Heading2"/>
      </w:pPr>
      <w:r>
        <w:rPr>
          <w:rStyle w:val="SectionNumber"/>
        </w:rPr>
        <w:t xml:space="preserve">8.2</w:t>
      </w:r>
      <w:r>
        <w:tab/>
      </w:r>
      <w:r>
        <w:t xml:space="preserve">Getting Started</w:t>
      </w:r>
    </w:p>
    <w:bookmarkStart w:id="46" w:name="set-up"/>
    <w:p>
      <w:pPr>
        <w:pStyle w:val="Heading3"/>
      </w:pPr>
      <w:r>
        <w:rPr>
          <w:rStyle w:val="SectionNumber"/>
        </w:rPr>
        <w:t xml:space="preserve">8.2.1</w:t>
      </w:r>
      <w:r>
        <w:tab/>
      </w:r>
      <w:r>
        <w:t xml:space="preserve">Set Up</w:t>
      </w:r>
    </w:p>
    <w:p>
      <w:pPr>
        <w:pStyle w:val="FirstParagraph"/>
      </w:pPr>
      <w:r>
        <w:t xml:space="preserve">In the next few steps, you will walk through how to get set up to use Galaxy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t xml:space="preserve">After logging in, click</w:t>
      </w:r>
      <w:r>
        <w:t xml:space="preserve"> </w:t>
      </w:r>
      <w:r>
        <w:t xml:space="preserve">“</w:t>
      </w:r>
      <w:r>
        <w:t xml:space="preserve">View Workspaces</w:t>
      </w:r>
      <w:r>
        <w:t xml:space="preserve">”</w:t>
      </w:r>
      <w:r>
        <w:t xml:space="preserve">. Select the</w:t>
      </w:r>
      <w:r>
        <w:t xml:space="preserve"> </w:t>
      </w:r>
      <w:r>
        <w:t xml:space="preserve">“</w:t>
      </w:r>
      <w:r>
        <w:t xml:space="preserve">Public</w:t>
      </w:r>
      <w:r>
        <w:t xml:space="preserve">”</w:t>
      </w:r>
      <w:r>
        <w:t xml:space="preserve"> </w:t>
      </w:r>
      <w:r>
        <w:t xml:space="preserve">tab. In the top search bar type the activity workspace</w:t>
      </w:r>
      <w:r>
        <w:t xml:space="preserve"> </w:t>
      </w:r>
      <w:r>
        <w:t xml:space="preserve">“</w:t>
      </w:r>
      <w:r>
        <w:t xml:space="preserve">SARS-CoV-2-Genome</w:t>
      </w:r>
      <w:r>
        <w:t xml:space="preserve">”</w:t>
      </w:r>
      <w:r>
        <w:t xml:space="preserve">. You can also go directly to the following link:</w:t>
      </w:r>
      <w:r>
        <w:t xml:space="preserve"> </w:t>
      </w:r>
      <w:hyperlink r:id="rId41">
        <w:r>
          <w:rPr>
            <w:rStyle w:val="Hyperlink"/>
          </w:rPr>
          <w:t xml:space="preserve">https://anvil.terra.bio/#workspaces/gdscn-exercises/SARS-CoV-2-Genome</w:t>
        </w:r>
      </w:hyperlink>
      <w:r>
        <w:t xml:space="preserve">.</w:t>
      </w:r>
    </w:p>
    <w:p>
      <w:pPr>
        <w:pStyle w:val="BodyText"/>
      </w:pPr>
      <w:r>
        <w:t xml:space="preserve">Clone the workspace by clicking the teardrop button (</w:t>
      </w:r>
      <w:bookmarkStart w:id="43" w:name="id"/>
      <w:r>
        <w:drawing>
          <wp:inline>
            <wp:extent cx="238125" cy="190500"/>
            <wp:effectExtent b="0" l="0" r="0" t="0"/>
            <wp:docPr descr="teardrop button" title="" id="1" name="Picture"/>
            <a:graphic>
              <a:graphicData uri="http://schemas.openxmlformats.org/drawingml/2006/picture">
                <pic:pic>
                  <pic:nvPicPr>
                    <pic:cNvPr descr="resources/images/teardrop.png" id="0" name="Picture"/>
                    <pic:cNvPicPr>
                      <a:picLocks noChangeArrowheads="1" noChangeAspect="1"/>
                    </pic:cNvPicPr>
                  </pic:nvPicPr>
                  <pic:blipFill>
                    <a:blip r:embed="rId42"/>
                    <a:stretch>
                      <a:fillRect/>
                    </a:stretch>
                  </pic:blipFill>
                  <pic:spPr bwMode="auto">
                    <a:xfrm>
                      <a:off x="0" y="0"/>
                      <a:ext cx="238125" cy="190500"/>
                    </a:xfrm>
                    <a:prstGeom prst="rect">
                      <a:avLst/>
                    </a:prstGeom>
                    <a:noFill/>
                    <a:ln w="9525">
                      <a:noFill/>
                      <a:headEnd/>
                      <a:tailEnd/>
                    </a:ln>
                  </pic:spPr>
                </pic:pic>
              </a:graphicData>
            </a:graphic>
          </wp:inline>
        </w:drawing>
      </w:r>
      <w:bookmarkEnd w:id="43"/>
      <w:r>
        <w:t xml:space="preserve">). And selecting</w:t>
      </w:r>
      <w:r>
        <w:t xml:space="preserve"> </w:t>
      </w:r>
      <w:r>
        <w:t xml:space="preserve">“</w:t>
      </w:r>
      <w:r>
        <w:t xml:space="preserve">Clone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625.png" id="0" name="Picture"/>
                    <pic:cNvPicPr>
                      <a:picLocks noChangeArrowheads="1" noChangeAspect="1"/>
                    </pic:cNvPicPr>
                  </pic:nvPicPr>
                  <pic:blipFill>
                    <a:blip r:embed="rId4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In the first box, give your Workspace clone a name by adding an underscore (“_”) and your name. For example,</w:t>
      </w:r>
      <w:r>
        <w:t xml:space="preserve"> </w:t>
      </w:r>
      <w:r>
        <w:t xml:space="preserve">“</w:t>
      </w:r>
      <w:r>
        <w:t xml:space="preserve">SARS-CoV-2-Genome_Ava_Hoffman</w:t>
      </w:r>
      <w:r>
        <w:t xml:space="preserve">”</w:t>
      </w:r>
      <w:r>
        <w:t xml:space="preserve">. Next, select the Billing project provided by your instructor. Leave the bottom two boxes as-is and click</w:t>
      </w:r>
      <w:r>
        <w:t xml:space="preserve"> </w:t>
      </w:r>
      <w:r>
        <w:t xml:space="preserve">“</w:t>
      </w:r>
      <w:r>
        <w:t xml:space="preserve">CLONE WORKSPACE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648.png" id="0" name="Picture"/>
                    <pic:cNvPicPr>
                      <a:picLocks noChangeArrowheads="1" noChangeAspect="1"/>
                    </pic:cNvPicPr>
                  </pic:nvPicPr>
                  <pic:blipFill>
                    <a:blip r:embed="rId45"/>
                    <a:stretch>
                      <a:fillRect/>
                    </a:stretch>
                  </pic:blipFill>
                  <pic:spPr bwMode="auto">
                    <a:xfrm>
                      <a:off x="0" y="0"/>
                      <a:ext cx="5943600" cy="3343275"/>
                    </a:xfrm>
                    <a:prstGeom prst="rect">
                      <a:avLst/>
                    </a:prstGeom>
                    <a:noFill/>
                    <a:ln w="9525">
                      <a:noFill/>
                      <a:headEnd/>
                      <a:tailEnd/>
                    </a:ln>
                  </pic:spPr>
                </pic:pic>
              </a:graphicData>
            </a:graphic>
          </wp:inline>
        </w:drawing>
      </w:r>
    </w:p>
    <w:bookmarkEnd w:id="46"/>
    <w:bookmarkStart w:id="49" w:name="starting-galaxy"/>
    <w:p>
      <w:pPr>
        <w:pStyle w:val="Heading3"/>
      </w:pPr>
      <w:r>
        <w:rPr>
          <w:rStyle w:val="SectionNumber"/>
        </w:rPr>
        <w:t xml:space="preserve">8.2.2</w:t>
      </w:r>
      <w:r>
        <w:tab/>
      </w:r>
      <w:r>
        <w:t xml:space="preserve">Starting Galaxy</w:t>
      </w:r>
    </w:p>
    <w:p>
      <w:pPr>
        <w:pStyle w:val="FirstParagraph"/>
      </w:pPr>
      <w:r>
        <w:t xml:space="preserve">Galaxy is a great tool for performing bioinformatics analysis without having to update software or worry too much about coding. In order to use Galaxy, we need to create a cloud environment. This is like quickly renting a few computers from Google as the engine to power our Galaxy analysis.</w:t>
      </w:r>
    </w:p>
    <w:p>
      <w:pPr>
        <w:pStyle w:val="BodyText"/>
      </w:pPr>
      <w:r>
        <w:t xml:space="preserve">In your new Workspace, click on the</w:t>
      </w:r>
      <w:r>
        <w:t xml:space="preserve"> </w:t>
      </w:r>
      <w:r>
        <w:t xml:space="preserve">“</w:t>
      </w:r>
      <w:r>
        <w:t xml:space="preserve">NOTEBOOKS</w:t>
      </w:r>
      <w:r>
        <w:t xml:space="preserve">”</w:t>
      </w:r>
      <w:r>
        <w:t xml:space="preserve"> </w:t>
      </w:r>
      <w:r>
        <w:t xml:space="preserve">tab. Next, click on</w:t>
      </w:r>
      <w:r>
        <w:t xml:space="preserve"> </w:t>
      </w:r>
      <w:r>
        <w:t xml:space="preserve">“</w:t>
      </w:r>
      <w:r>
        <w:t xml:space="preserve">Create a Cloud Environment for Galaxy</w:t>
      </w:r>
      <w:r>
        <w:t xml:space="preserve">”</w:t>
      </w:r>
      <w:r>
        <w:t xml:space="preserve">. You should see a popup window on the right side of the screen. Click on</w:t>
      </w:r>
      <w:r>
        <w:t xml:space="preserve"> </w:t>
      </w:r>
      <w:r>
        <w:t xml:space="preserve">“</w:t>
      </w:r>
      <w:r>
        <w:t xml:space="preserve">NEXT</w:t>
      </w:r>
      <w:r>
        <w:t xml:space="preserve">”</w:t>
      </w:r>
      <w:r>
        <w:t xml:space="preserve"> </w:t>
      </w:r>
      <w:r>
        <w:t xml:space="preserve">and</w:t>
      </w:r>
      <w:r>
        <w:t xml:space="preserve"> </w:t>
      </w:r>
      <w:r>
        <w:t xml:space="preserve">“</w:t>
      </w:r>
      <w:r>
        <w:t xml:space="preserve">CREATE</w:t>
      </w:r>
      <w:r>
        <w:t xml:space="preserve">”</w:t>
      </w:r>
      <w:r>
        <w:t xml:space="preserve"> </w:t>
      </w:r>
      <w:r>
        <w:t xml:space="preserve">to keep all settings as-is. This will take 8-10 minutes. When it is done, click</w:t>
      </w:r>
      <w:r>
        <w:t xml:space="preserve"> </w:t>
      </w:r>
      <w:r>
        <w:t xml:space="preserve">“</w:t>
      </w:r>
      <w:r>
        <w:t xml:space="preserve">LAUNCH GALAXY</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788.png" id="0" name="Picture"/>
                    <pic:cNvPicPr>
                      <a:picLocks noChangeArrowheads="1" noChangeAspect="1"/>
                    </pic:cNvPicPr>
                  </pic:nvPicPr>
                  <pic:blipFill>
                    <a:blip r:embed="rId4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can also follow along with the first ~2 minutes of</w:t>
      </w:r>
      <w:r>
        <w:t xml:space="preserve"> </w:t>
      </w:r>
      <w:hyperlink r:id="rId48">
        <w:r>
          <w:rPr>
            <w:rStyle w:val="Hyperlink"/>
          </w:rPr>
          <w:t xml:space="preserve">this video</w:t>
        </w:r>
      </w:hyperlink>
      <w:r>
        <w:t xml:space="preserve"> </w:t>
      </w:r>
      <w:r>
        <w:t xml:space="preserve">to start Galaxy on AnVIL.</w:t>
      </w:r>
    </w:p>
    <w:bookmarkEnd w:id="49"/>
    <w:bookmarkStart w:id="51" w:name="navigating-galaxy"/>
    <w:p>
      <w:pPr>
        <w:pStyle w:val="Heading3"/>
      </w:pPr>
      <w:r>
        <w:rPr>
          <w:rStyle w:val="SectionNumber"/>
        </w:rPr>
        <w:t xml:space="preserve">8.2.3</w:t>
      </w:r>
      <w:r>
        <w:tab/>
      </w:r>
      <w:r>
        <w:t xml:space="preserve">Navigating Galaxy</w:t>
      </w:r>
    </w:p>
    <w:p>
      <w:pPr>
        <w:pStyle w:val="FirstParagraph"/>
      </w:pPr>
      <w:r>
        <w:t xml:space="preserve">Notice the three main sections.</w:t>
      </w:r>
    </w:p>
    <w:p>
      <w:pPr>
        <w:pStyle w:val="BodyText"/>
      </w:pPr>
      <w:r>
        <w:rPr>
          <w:bCs/>
          <w:b/>
        </w:rPr>
        <w:t xml:space="preserve">Tools</w:t>
      </w:r>
      <w:r>
        <w:t xml:space="preserve"> </w:t>
      </w:r>
      <w:r>
        <w:t xml:space="preserve">- These are all of the bioinformatics tool packages available for you to use.</w:t>
      </w:r>
    </w:p>
    <w:p>
      <w:pPr>
        <w:pStyle w:val="BodyText"/>
      </w:pPr>
      <w:r>
        <w:rPr>
          <w:bCs/>
          <w:b/>
        </w:rPr>
        <w:t xml:space="preserve">The Main Dashboard</w:t>
      </w:r>
      <w:r>
        <w:t xml:space="preserve"> </w:t>
      </w:r>
      <w:r>
        <w:t xml:space="preserve">- This contains flash messages and posts when you first open Galaxy, but when we are using data this is the main interface area.</w:t>
      </w:r>
    </w:p>
    <w:p>
      <w:pPr>
        <w:pStyle w:val="BodyText"/>
      </w:pPr>
      <w:r>
        <w:rPr>
          <w:bCs/>
          <w:b/>
        </w:rPr>
        <w:t xml:space="preserve">History</w:t>
      </w:r>
      <w:r>
        <w:t xml:space="preserve"> </w:t>
      </w:r>
      <w:r>
        <w:t xml:space="preserve">- When you start a project you will be able to see all of the documents in the project in the history. Now be aware, this can become very busy. Also the naming that Galaxy uses is not very intuitive, so you must make sure that you label your files with something that makes sense to you.</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16.png" id="0" name="Picture"/>
                    <pic:cNvPicPr>
                      <a:picLocks noChangeArrowheads="1" noChangeAspect="1"/>
                    </pic:cNvPicPr>
                  </pic:nvPicPr>
                  <pic:blipFill>
                    <a:blip r:embed="rId5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On the welcome page, there are links to tutorials. You may try these out on your own. If you want to try a new analysis this is a good place to start.</w:t>
      </w:r>
    </w:p>
    <w:bookmarkEnd w:id="51"/>
    <w:bookmarkStart w:id="56" w:name="importing-data-into-galaxy"/>
    <w:p>
      <w:pPr>
        <w:pStyle w:val="Heading3"/>
      </w:pPr>
      <w:r>
        <w:rPr>
          <w:rStyle w:val="SectionNumber"/>
        </w:rPr>
        <w:t xml:space="preserve">8.2.4</w:t>
      </w:r>
      <w:r>
        <w:tab/>
      </w:r>
      <w:r>
        <w:t xml:space="preserve">Importing Data into Galaxy</w:t>
      </w:r>
    </w:p>
    <w:p>
      <w:pPr>
        <w:pStyle w:val="FirstParagraph"/>
      </w:pPr>
      <w:r>
        <w:t xml:space="preserve">Luckily, we linked to the original data when we cloned our Workspace! We have three files we will need for our activity. These are (1) the reference genome for SARS-CoV-2, and both forward (2) and reverse (3) reads for our sample. There are two sets of reads for our sample because the scientists who collected it used paired-end sequencing. The reference genome ends in</w:t>
      </w:r>
      <w:r>
        <w:t xml:space="preserve"> </w:t>
      </w:r>
      <w:r>
        <w:t xml:space="preserve">“</w:t>
      </w:r>
      <w:r>
        <w:t xml:space="preserve">.fasta</w:t>
      </w:r>
      <w:r>
        <w:t xml:space="preserve">”</w:t>
      </w:r>
      <w:r>
        <w:t xml:space="preserve"> </w:t>
      </w:r>
      <w:r>
        <w:t xml:space="preserve">because it has already been cleaned up by scientists. The sample we are looking at ends in</w:t>
      </w:r>
      <w:r>
        <w:t xml:space="preserve"> </w:t>
      </w:r>
      <w:r>
        <w:rPr>
          <w:rStyle w:val="VerbatimChar"/>
        </w:rPr>
        <w:t xml:space="preserve">fastq</w:t>
      </w:r>
      <w:r>
        <w:t xml:space="preserve"> </w:t>
      </w:r>
      <w:r>
        <w:t xml:space="preserve">because it is raw data from the sequencer.</w:t>
      </w:r>
    </w:p>
    <w:p>
      <w:pPr>
        <w:numPr>
          <w:ilvl w:val="0"/>
          <w:numId w:val="1014"/>
        </w:numPr>
      </w:pPr>
      <w:r>
        <w:t xml:space="preserve">Click on</w:t>
      </w:r>
      <w:r>
        <w:t xml:space="preserve"> </w:t>
      </w:r>
      <w:r>
        <w:t xml:space="preserve">“</w:t>
      </w:r>
      <w:r>
        <w:t xml:space="preserve">Upload Data</w:t>
      </w:r>
      <w:r>
        <w:t xml:space="preserve">”</w:t>
      </w:r>
      <w:r>
        <w:t xml:space="preserve"> </w:t>
      </w:r>
      <w:r>
        <w:t xml:space="preserve">in the Tools 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30.png" id="0" name="Picture"/>
                    <pic:cNvPicPr>
                      <a:picLocks noChangeArrowheads="1" noChangeAspect="1"/>
                    </pic:cNvPicPr>
                  </pic:nvPicPr>
                  <pic:blipFill>
                    <a:blip r:embed="rId52"/>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Click on</w:t>
      </w:r>
      <w:r>
        <w:t xml:space="preserve"> </w:t>
      </w:r>
      <w:r>
        <w:t xml:space="preserve">“</w:t>
      </w:r>
      <w:r>
        <w:t xml:space="preserve">Choose remote files</w:t>
      </w:r>
      <w:r>
        <w:t xml:space="preserve">”</w:t>
      </w:r>
      <w:r>
        <w:t xml:space="preserve"> </w:t>
      </w:r>
      <w:r>
        <w:t xml:space="preserve">at the bottom of the popup.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reference/</w:t>
      </w:r>
      <w:r>
        <w:t xml:space="preserve">”</w:t>
      </w:r>
      <w:r>
        <w:t xml:space="preserve">. Click the reference .fasta file so that it is highlighted in green and click</w:t>
      </w:r>
      <w:r>
        <w:t xml:space="preserve"> </w:t>
      </w:r>
      <w:r>
        <w:t xml:space="preserve">“</w:t>
      </w:r>
      <w:r>
        <w:t xml:space="preserve">OK</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49.png" id="0" name="Picture"/>
                    <pic:cNvPicPr>
                      <a:picLocks noChangeArrowheads="1" noChangeAspect="1"/>
                    </pic:cNvPicPr>
                  </pic:nvPicPr>
                  <pic:blipFill>
                    <a:blip r:embed="rId5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Now that your reference has been added, click</w:t>
      </w:r>
      <w:r>
        <w:t xml:space="preserve"> </w:t>
      </w:r>
      <w:r>
        <w:t xml:space="preserve">“</w:t>
      </w:r>
      <w:r>
        <w:t xml:space="preserve">Choose remote files</w:t>
      </w:r>
      <w:r>
        <w:t xml:space="preserve">”</w:t>
      </w:r>
      <w:r>
        <w:t xml:space="preserve"> </w:t>
      </w:r>
      <w:r>
        <w:t xml:space="preserve">again to add the two sample files.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samples/</w:t>
      </w:r>
      <w:r>
        <w:t xml:space="preserve">”</w:t>
      </w:r>
      <w:r>
        <w:t xml:space="preserve">. Click the two sample</w:t>
      </w:r>
      <w:r>
        <w:t xml:space="preserve"> </w:t>
      </w:r>
      <w:r>
        <w:rPr>
          <w:rStyle w:val="VerbatimChar"/>
        </w:rPr>
        <w:t xml:space="preserve">fastq</w:t>
      </w:r>
      <w:r>
        <w:t xml:space="preserve"> </w:t>
      </w:r>
      <w:r>
        <w:t xml:space="preserve">files so that they are highlighted in green and click</w:t>
      </w:r>
      <w:r>
        <w:t xml:space="preserve"> </w:t>
      </w:r>
      <w:r>
        <w:t xml:space="preserve">“</w:t>
      </w:r>
      <w:r>
        <w:t xml:space="preserve">OK</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f82e74360_0_13.png" id="0" name="Picture"/>
                    <pic:cNvPicPr>
                      <a:picLocks noChangeArrowheads="1" noChangeAspect="1"/>
                    </pic:cNvPicPr>
                  </pic:nvPicPr>
                  <pic:blipFill>
                    <a:blip r:embed="rId5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Click</w:t>
      </w:r>
      <w:r>
        <w:t xml:space="preserve"> </w:t>
      </w:r>
      <w:r>
        <w:t xml:space="preserve">“</w:t>
      </w:r>
      <w:r>
        <w:t xml:space="preserve">Start</w:t>
      </w:r>
      <w:r>
        <w:t xml:space="preserve">”</w:t>
      </w:r>
      <w:r>
        <w:t xml:space="preserve"> </w:t>
      </w:r>
      <w:r>
        <w:t xml:space="preserve">and once complete, you can click</w:t>
      </w:r>
      <w:r>
        <w:t xml:space="preserve"> </w:t>
      </w:r>
      <w:r>
        <w:t xml:space="preserve">“</w:t>
      </w:r>
      <w:r>
        <w:t xml:space="preserve">Close</w:t>
      </w:r>
      <w:r>
        <w:t xml:space="preserve">”</w:t>
      </w:r>
      <w:r>
        <w:t xml:space="preserve">.</w:t>
      </w:r>
    </w:p>
    <w:p>
      <w:pPr>
        <w:numPr>
          <w:ilvl w:val="0"/>
          <w:numId w:val="1014"/>
        </w:numPr>
      </w:pPr>
      <w:r>
        <w:t xml:space="preserve">Confirm your upload worked by looking at the file names in the History 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61.png" id="0" name="Picture"/>
                    <pic:cNvPicPr>
                      <a:picLocks noChangeArrowheads="1" noChangeAspect="1"/>
                    </pic:cNvPicPr>
                  </pic:nvPicPr>
                  <pic:blipFill>
                    <a:blip r:embed="rId55"/>
                    <a:stretch>
                      <a:fillRect/>
                    </a:stretch>
                  </pic:blipFill>
                  <pic:spPr bwMode="auto">
                    <a:xfrm>
                      <a:off x="0" y="0"/>
                      <a:ext cx="5943600" cy="3343275"/>
                    </a:xfrm>
                    <a:prstGeom prst="rect">
                      <a:avLst/>
                    </a:prstGeom>
                    <a:noFill/>
                    <a:ln w="9525">
                      <a:noFill/>
                      <a:headEnd/>
                      <a:tailEnd/>
                    </a:ln>
                  </pic:spPr>
                </pic:pic>
              </a:graphicData>
            </a:graphic>
          </wp:inline>
        </w:drawing>
      </w:r>
    </w:p>
    <w:bookmarkEnd w:id="56"/>
    <w:bookmarkEnd w:id="57"/>
    <w:bookmarkStart w:id="70" w:name="X6f08f9269715dfc28fc4516c09be10e94078121"/>
    <w:p>
      <w:pPr>
        <w:pStyle w:val="Heading2"/>
      </w:pPr>
      <w:r>
        <w:rPr>
          <w:rStyle w:val="SectionNumber"/>
        </w:rPr>
        <w:t xml:space="preserve">8.3</w:t>
      </w:r>
      <w:r>
        <w:tab/>
      </w:r>
      <w:r>
        <w:t xml:space="preserve">Exercise One: Examining</w:t>
      </w:r>
      <w:r>
        <w:t xml:space="preserve"> </w:t>
      </w:r>
      <w:r>
        <w:rPr>
          <w:rStyle w:val="VerbatimChar"/>
        </w:rPr>
        <w:t xml:space="preserve">fastq</w:t>
      </w:r>
      <w:r>
        <w:t xml:space="preserve"> </w:t>
      </w:r>
      <w:r>
        <w:t xml:space="preserve">Files in Galaxy</w:t>
      </w:r>
    </w:p>
    <w:p>
      <w:pPr>
        <w:pStyle w:val="FirstParagraph"/>
      </w:pPr>
      <w:r>
        <w:rPr>
          <w:iCs/>
          <w:i/>
        </w:rPr>
        <w:t xml:space="preserve">Now we have some data in our account we can look at it. In this exercise we will see data in</w:t>
      </w:r>
      <w:r>
        <w:rPr>
          <w:iCs/>
          <w:i/>
        </w:rPr>
        <w:t xml:space="preserve"> </w:t>
      </w:r>
      <w:r>
        <w:rPr>
          <w:rStyle w:val="VerbatimChar"/>
          <w:iCs/>
          <w:i/>
        </w:rPr>
        <w:t xml:space="preserve">fastq</w:t>
      </w:r>
      <w:r>
        <w:rPr>
          <w:iCs/>
          <w:i/>
        </w:rPr>
        <w:t xml:space="preserve"> </w:t>
      </w:r>
      <w:r>
        <w:rPr>
          <w:iCs/>
          <w:i/>
        </w:rPr>
        <w:t xml:space="preserve">format. This is the typical output from an Illumina Sequencer, but also the standard format for most alignment software.</w:t>
      </w:r>
    </w:p>
    <w:bookmarkStart w:id="61" w:name="examining-inputs"/>
    <w:p>
      <w:pPr>
        <w:pStyle w:val="Heading3"/>
      </w:pPr>
      <w:r>
        <w:rPr>
          <w:rStyle w:val="SectionNumber"/>
        </w:rPr>
        <w:t xml:space="preserve">8.3.1</w:t>
      </w:r>
      <w:r>
        <w:tab/>
      </w:r>
      <w:r>
        <w:t xml:space="preserve">Examining Inputs</w:t>
      </w:r>
    </w:p>
    <w:p>
      <w:pPr>
        <w:pStyle w:val="FirstParagraph"/>
      </w:pPr>
      <w:r>
        <w:t xml:space="preserve">Use your mouse and click on the eye icon (</w:t>
      </w:r>
      <w:bookmarkStart w:id="59"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8"/>
                    <a:stretch>
                      <a:fillRect/>
                    </a:stretch>
                  </pic:blipFill>
                  <pic:spPr bwMode="auto">
                    <a:xfrm>
                      <a:off x="0" y="0"/>
                      <a:ext cx="238125" cy="190500"/>
                    </a:xfrm>
                    <a:prstGeom prst="rect">
                      <a:avLst/>
                    </a:prstGeom>
                    <a:noFill/>
                    <a:ln w="9525">
                      <a:noFill/>
                      <a:headEnd/>
                      <a:tailEnd/>
                    </a:ln>
                  </pic:spPr>
                </pic:pic>
              </a:graphicData>
            </a:graphic>
          </wp:inline>
        </w:drawing>
      </w:r>
      <w:bookmarkEnd w:id="59"/>
      <w:r>
        <w:t xml:space="preserve">) of the first</w:t>
      </w:r>
      <w:r>
        <w:t xml:space="preserve"> </w:t>
      </w:r>
      <w:r>
        <w:rPr>
          <w:rStyle w:val="VerbatimChar"/>
        </w:rPr>
        <w:t xml:space="preserve">fastq</w:t>
      </w:r>
      <w:r>
        <w:t xml:space="preserve"> </w:t>
      </w:r>
      <w:r>
        <w:t xml:space="preserve">file (</w:t>
      </w:r>
      <w:r>
        <w:rPr>
          <w:bCs/>
          <w:b/>
        </w:rPr>
        <w:t xml:space="preserve">VA_sample_forward_reads.fastq</w:t>
      </w:r>
      <w:r>
        <w:t xml:space="preserve">). In the Main screen you will see something like this: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a95c9e4ef_0_41.png" id="0" name="Picture"/>
                    <pic:cNvPicPr>
                      <a:picLocks noChangeArrowheads="1" noChangeAspect="1"/>
                    </pic:cNvPicPr>
                  </pic:nvPicPr>
                  <pic:blipFill>
                    <a:blip r:embed="rId6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5"/>
        </w:numPr>
      </w:pPr>
      <w:r>
        <w:t xml:space="preserve">How many lines in a .fastq file represent an individual read?</w:t>
      </w:r>
    </w:p>
    <w:p>
      <w:pPr>
        <w:numPr>
          <w:ilvl w:val="0"/>
          <w:numId w:val="1015"/>
        </w:numPr>
      </w:pPr>
      <w:r>
        <w:t xml:space="preserve">What does each line represent?</w:t>
      </w:r>
    </w:p>
    <w:p>
      <w:pPr>
        <w:numPr>
          <w:ilvl w:val="0"/>
          <w:numId w:val="1015"/>
        </w:numPr>
      </w:pPr>
      <w:r>
        <w:t xml:space="preserve">Why is the final line for each read (the quality score) important?</w:t>
      </w:r>
    </w:p>
    <w:bookmarkEnd w:id="61"/>
    <w:bookmarkStart w:id="69" w:name="quality-scoring"/>
    <w:p>
      <w:pPr>
        <w:pStyle w:val="Heading3"/>
      </w:pPr>
      <w:r>
        <w:rPr>
          <w:rStyle w:val="SectionNumber"/>
        </w:rPr>
        <w:t xml:space="preserve">8.3.2</w:t>
      </w:r>
      <w:r>
        <w:tab/>
      </w:r>
      <w:r>
        <w:t xml:space="preserve">Quality Scoring</w:t>
      </w:r>
    </w:p>
    <w:p>
      <w:pPr>
        <w:pStyle w:val="FirstParagraph"/>
      </w:pPr>
      <w:r>
        <w:t xml:space="preserve">FastQC is a tool which aims to provide simple quality control checks on raw sequence data coming from high throughput sequencing pipelines. It provides a set of analyses which you can use to get a quick impression of whether your data has any problems of which you should be aware before doing any further analysis.</w:t>
      </w:r>
    </w:p>
    <w:p>
      <w:pPr>
        <w:pStyle w:val="BodyText"/>
      </w:pPr>
      <w:r>
        <w:t xml:space="preserve">Find the FastQC tool in the GENOMIC FILE MANIPULATION: FASTQ Quality Control tool folder. You will see something like this in the tools: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0.png" id="0" name="Picture"/>
                    <pic:cNvPicPr>
                      <a:picLocks noChangeArrowheads="1" noChangeAspect="1"/>
                    </pic:cNvPicPr>
                  </pic:nvPicPr>
                  <pic:blipFill>
                    <a:blip r:embed="rId6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In the first drop down menu, make sure it has your first</w:t>
      </w:r>
      <w:r>
        <w:t xml:space="preserve"> </w:t>
      </w:r>
      <w:r>
        <w:rPr>
          <w:rStyle w:val="VerbatimChar"/>
        </w:rPr>
        <w:t xml:space="preserve">fastq</w:t>
      </w:r>
      <w:r>
        <w:t xml:space="preserve"> </w:t>
      </w:r>
      <w:r>
        <w:t xml:space="preserve">file (</w:t>
      </w:r>
      <w:r>
        <w:rPr>
          <w:bCs/>
          <w:b/>
        </w:rPr>
        <w:t xml:space="preserve">VA_sample_forward_reads.fastq</w:t>
      </w:r>
      <w:r>
        <w:t xml:space="preserve">) loaded. Leave everything else as-is and click on the blue execute button at the bottom of the screen.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6.png" id="0" name="Picture"/>
                    <pic:cNvPicPr>
                      <a:picLocks noChangeArrowheads="1" noChangeAspect="1"/>
                    </pic:cNvPicPr>
                  </pic:nvPicPr>
                  <pic:blipFill>
                    <a:blip r:embed="rId63"/>
                    <a:stretch>
                      <a:fillRect/>
                    </a:stretch>
                  </pic:blipFill>
                  <pic:spPr bwMode="auto">
                    <a:xfrm>
                      <a:off x="0" y="0"/>
                      <a:ext cx="5943600" cy="3343275"/>
                    </a:xfrm>
                    <a:prstGeom prst="rect">
                      <a:avLst/>
                    </a:prstGeom>
                    <a:noFill/>
                    <a:ln w="9525">
                      <a:noFill/>
                      <a:headEnd/>
                      <a:tailEnd/>
                    </a:ln>
                  </pic:spPr>
                </pic:pic>
              </a:graphicData>
            </a:graphic>
          </wp:inline>
        </w:drawing>
      </w:r>
      <w:r>
        <w:t xml:space="preserve"> </w:t>
      </w: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2.png" id="0" name="Picture"/>
                    <pic:cNvPicPr>
                      <a:picLocks noChangeArrowheads="1" noChangeAspect="1"/>
                    </pic:cNvPicPr>
                  </pic:nvPicPr>
                  <pic:blipFill>
                    <a:blip r:embed="rId6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 main dash will highlight in green if everything is okay. In the history, you will see the new files turn yellow, then green. If the job fails it will show an error.</w:t>
      </w:r>
    </w:p>
    <w:p>
      <w:pPr>
        <w:pStyle w:val="BodyText"/>
      </w:pPr>
      <w:r>
        <w:t xml:space="preserve">Click on the eye icon (</w:t>
      </w:r>
      <w:bookmarkStart w:id="65"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8"/>
                    <a:stretch>
                      <a:fillRect/>
                    </a:stretch>
                  </pic:blipFill>
                  <pic:spPr bwMode="auto">
                    <a:xfrm>
                      <a:off x="0" y="0"/>
                      <a:ext cx="238125" cy="190500"/>
                    </a:xfrm>
                    <a:prstGeom prst="rect">
                      <a:avLst/>
                    </a:prstGeom>
                    <a:noFill/>
                    <a:ln w="9525">
                      <a:noFill/>
                      <a:headEnd/>
                      <a:tailEnd/>
                    </a:ln>
                  </pic:spPr>
                </pic:pic>
              </a:graphicData>
            </a:graphic>
          </wp:inline>
        </w:drawing>
      </w:r>
      <w:bookmarkEnd w:id="65"/>
      <w:r>
        <w:t xml:space="preserve">) in the new file in the history</w:t>
      </w:r>
      <w:r>
        <w:t xml:space="preserve"> </w:t>
      </w:r>
      <w:r>
        <w:t xml:space="preserve">“</w:t>
      </w:r>
      <w:r>
        <w:t xml:space="preserve">FASTQC on data2 Webpage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8.png" id="0" name="Picture"/>
                    <pic:cNvPicPr>
                      <a:picLocks noChangeArrowheads="1" noChangeAspect="1"/>
                    </pic:cNvPicPr>
                  </pic:nvPicPr>
                  <pic:blipFill>
                    <a:blip r:embed="rId6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will open up a summary report for the sequencing file: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23.png" id="0" name="Picture"/>
                    <pic:cNvPicPr>
                      <a:picLocks noChangeArrowheads="1" noChangeAspect="1"/>
                    </pic:cNvPicPr>
                  </pic:nvPicPr>
                  <pic:blipFill>
                    <a:blip r:embed="rId6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6"/>
        </w:numPr>
      </w:pPr>
      <w:r>
        <w:t xml:space="preserve">Explore</w:t>
      </w:r>
      <w:r>
        <w:t xml:space="preserve"> </w:t>
      </w:r>
      <w:r>
        <w:t xml:space="preserve">“</w:t>
      </w:r>
      <w:r>
        <w:t xml:space="preserve">Basic Statistics</w:t>
      </w:r>
      <w:r>
        <w:t xml:space="preserve">”</w:t>
      </w:r>
      <w:r>
        <w:t xml:space="preserve">. How many total reads are there? Have any been flagged as poor quality? What is the sequence length?</w:t>
      </w:r>
    </w:p>
    <w:p>
      <w:pPr>
        <w:numPr>
          <w:ilvl w:val="0"/>
          <w:numId w:val="1016"/>
        </w:numPr>
      </w:pPr>
      <w:r>
        <w:t xml:space="preserve">Explore</w:t>
      </w:r>
      <w:r>
        <w:t xml:space="preserve"> </w:t>
      </w:r>
      <w:r>
        <w:t xml:space="preserve">“</w:t>
      </w:r>
      <w:r>
        <w:t xml:space="preserve">Per base sequence quality</w:t>
      </w:r>
      <w:r>
        <w:t xml:space="preserve">”</w:t>
      </w:r>
      <w:r>
        <w:t xml:space="preserve">. Based on the Basic Statistics, is 28-40 a good or bad quality score?</w:t>
      </w:r>
    </w:p>
    <w:p>
      <w:pPr>
        <w:numPr>
          <w:ilvl w:val="0"/>
          <w:numId w:val="1016"/>
        </w:numPr>
      </w:pPr>
      <w:r>
        <w:t xml:space="preserve">Is it okay to proceed based on the per base sequence quality?</w:t>
      </w:r>
    </w:p>
    <w:p>
      <w:pPr>
        <w:pStyle w:val="FirstParagraph"/>
      </w:pPr>
      <w:r>
        <w:rPr>
          <w:bCs/>
          <w:b/>
        </w:rPr>
        <w:t xml:space="preserve">Breakout Box: Learn more about quality scores</w:t>
      </w:r>
    </w:p>
    <w:p>
      <w:pPr>
        <w:pStyle w:val="BodyText"/>
      </w:pPr>
      <w:r>
        <w:t xml:space="preserve">You may be wondering how the fourth line of the .fastq files relates to the quality score above. To save space, the sequencer records an</w:t>
      </w:r>
      <w:r>
        <w:t xml:space="preserve"> </w:t>
      </w:r>
      <w:hyperlink r:id="rId68">
        <w:r>
          <w:rPr>
            <w:rStyle w:val="Hyperlink"/>
          </w:rPr>
          <w:t xml:space="preserve">ASCII character</w:t>
        </w:r>
      </w:hyperlink>
      <w:r>
        <w:t xml:space="preserve"> </w:t>
      </w:r>
      <w:r>
        <w:t xml:space="preserve">to represent scores 0-42. For example 10 corresponds to</w:t>
      </w:r>
      <w:r>
        <w:t xml:space="preserve"> </w:t>
      </w:r>
      <w:r>
        <w:t xml:space="preserve">“</w:t>
      </w:r>
      <w:r>
        <w:t xml:space="preserve">+</w:t>
      </w:r>
      <w:r>
        <w:t xml:space="preserve">”</w:t>
      </w:r>
      <w:r>
        <w:t xml:space="preserve"> </w:t>
      </w:r>
      <w:r>
        <w:t xml:space="preserve">and 40 corresponds to</w:t>
      </w:r>
      <w:r>
        <w:t xml:space="preserve"> </w:t>
      </w:r>
      <w:r>
        <w:t xml:space="preserve">“</w:t>
      </w:r>
      <w:r>
        <w:t xml:space="preserve">I</w:t>
      </w:r>
      <w:r>
        <w:t xml:space="preserve">”</w:t>
      </w:r>
      <w:r>
        <w:t xml:space="preserve">. FastQC knows how to translate this. This is often called</w:t>
      </w:r>
      <w:r>
        <w:t xml:space="preserve"> </w:t>
      </w:r>
      <w:r>
        <w:t xml:space="preserve">“</w:t>
      </w:r>
      <w:r>
        <w:t xml:space="preserve">Phred</w:t>
      </w:r>
      <w:r>
        <w:t xml:space="preserve">”</w:t>
      </w:r>
      <w:r>
        <w:t xml:space="preserve"> </w:t>
      </w:r>
      <w:r>
        <w:t xml:space="preserve">scoring.</w:t>
      </w:r>
    </w:p>
    <w:p>
      <w:pPr>
        <w:pStyle w:val="BodyText"/>
      </w:pPr>
      <w:r>
        <w:t xml:space="preserve">What does 0-42 represent? These numbers, when plugged into a formula, tell us the probability of an error for that base. This is the formula, where Q is our quality score (0-42) and P is the probability of an error:</w:t>
      </w:r>
    </w:p>
    <w:p>
      <w:pPr>
        <w:pStyle w:val="BodyText"/>
      </w:pPr>
      <w:r>
        <w:t xml:space="preserve">Q = -10 log10(P)</w:t>
      </w:r>
    </w:p>
    <w:p>
      <w:pPr>
        <w:pStyle w:val="BodyText"/>
      </w:pPr>
      <w:r>
        <w:t xml:space="preserve">Using this formula, we can calculate that a quality score of 40 means only 0.00010 probability of an error!</w:t>
      </w:r>
    </w:p>
    <w:bookmarkEnd w:id="69"/>
    <w:bookmarkEnd w:id="70"/>
    <w:bookmarkStart w:id="74" w:name="exercise-two"/>
    <w:p>
      <w:pPr>
        <w:pStyle w:val="Heading2"/>
      </w:pPr>
      <w:r>
        <w:rPr>
          <w:rStyle w:val="SectionNumber"/>
        </w:rPr>
        <w:t xml:space="preserve">8.4</w:t>
      </w:r>
      <w:r>
        <w:tab/>
      </w:r>
      <w:r>
        <w:t xml:space="preserve">Exercise Two: Alignment</w:t>
      </w:r>
    </w:p>
    <w:p>
      <w:pPr>
        <w:pStyle w:val="FirstParagraph"/>
      </w:pPr>
      <w:r>
        <w:rPr>
          <w:iCs/>
          <w:i/>
        </w:rPr>
        <w:t xml:space="preserve">Given that our data has passed some quality checks, we will try to align the data to the reference genome. In this case it is simple, a viral genome. A human sequencing project will generate much larger data sets. There are many aligners, but we will start off looking at a simple aligner BWA-MEM. This example uses paired data.</w:t>
      </w:r>
    </w:p>
    <w:p>
      <w:pPr>
        <w:pStyle w:val="BodyText"/>
      </w:pPr>
      <w:r>
        <w:t xml:space="preserve">We will use our two SARs data files, which are ready for alignment.</w:t>
      </w:r>
      <w:r>
        <w:t xml:space="preserve"> </w:t>
      </w:r>
      <w:r>
        <w:rPr>
          <w:bCs/>
          <w:b/>
        </w:rPr>
        <w:t xml:space="preserve">VA_sample_forward_reads.fastq</w:t>
      </w:r>
      <w:r>
        <w:t xml:space="preserve"> </w:t>
      </w:r>
      <w:r>
        <w:rPr>
          <w:bCs/>
          <w:b/>
        </w:rPr>
        <w:t xml:space="preserve">VA_sample_reverse_reads.fastq</w:t>
      </w:r>
    </w:p>
    <w:p>
      <w:pPr>
        <w:pStyle w:val="BodyText"/>
      </w:pPr>
      <w:r>
        <w:t xml:space="preserve">Now go to GENOMICS ANALYSIS: Mapping and select</w:t>
      </w:r>
      <w:r>
        <w:t xml:space="preserve"> </w:t>
      </w:r>
      <w:r>
        <w:t xml:space="preserve">“</w:t>
      </w:r>
      <w:r>
        <w:t xml:space="preserve">Map with BWA-MEM</w:t>
      </w:r>
      <w:r>
        <w:t xml:space="preserve">”</w:t>
      </w:r>
      <w:r>
        <w:t xml:space="preserve">. This program will align your reads to your SARS reference genome. Some of our reads are &gt;100 base pairs so we will use the MEM option.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33.png" id="0" name="Picture"/>
                    <pic:cNvPicPr>
                      <a:picLocks noChangeArrowheads="1" noChangeAspect="1"/>
                    </pic:cNvPicPr>
                  </pic:nvPicPr>
                  <pic:blipFill>
                    <a:blip r:embed="rId7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First, choose your reference. In the first drop down box change it to</w:t>
      </w:r>
      <w:r>
        <w:t xml:space="preserve"> </w:t>
      </w:r>
      <w:r>
        <w:t xml:space="preserve">“</w:t>
      </w:r>
      <w:r>
        <w:t xml:space="preserve">Use a genome from history and build index</w:t>
      </w:r>
      <w:r>
        <w:t xml:space="preserve">”</w:t>
      </w:r>
      <w:r>
        <w:t xml:space="preserve">. Then choose the SARS reference</w:t>
      </w:r>
      <w:r>
        <w:t xml:space="preserve"> </w:t>
      </w:r>
      <w:r>
        <w:rPr>
          <w:rStyle w:val="VerbatimChar"/>
        </w:rPr>
        <w:t xml:space="preserve">fasta</w:t>
      </w:r>
      <w:r>
        <w:t xml:space="preserve"> </w:t>
      </w:r>
      <w:r>
        <w:t xml:space="preserve">file that you uploaded as the reference.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41.png" id="0" name="Picture"/>
                    <pic:cNvPicPr>
                      <a:picLocks noChangeArrowheads="1" noChangeAspect="1"/>
                    </pic:cNvPicPr>
                  </pic:nvPicPr>
                  <pic:blipFill>
                    <a:blip r:embed="rId7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Under the</w:t>
      </w:r>
      <w:r>
        <w:t xml:space="preserve"> </w:t>
      </w:r>
      <w:r>
        <w:t xml:space="preserve">“</w:t>
      </w:r>
      <w:r>
        <w:t xml:space="preserve">Single or Paired-end reads</w:t>
      </w:r>
      <w:r>
        <w:t xml:space="preserve">”</w:t>
      </w:r>
      <w:r>
        <w:t xml:space="preserve"> </w:t>
      </w:r>
      <w:r>
        <w:t xml:space="preserve">ensure the</w:t>
      </w:r>
      <w:r>
        <w:t xml:space="preserve"> </w:t>
      </w:r>
      <w:r>
        <w:t xml:space="preserve">“</w:t>
      </w:r>
      <w:r>
        <w:t xml:space="preserve">Paired</w:t>
      </w:r>
      <w:r>
        <w:t xml:space="preserve">”</w:t>
      </w:r>
      <w:r>
        <w:t xml:space="preserve"> </w:t>
      </w:r>
      <w:r>
        <w:t xml:space="preserve">option is selected. Now choose your forward and reverse fastq files. Leave other options as-is.</w:t>
      </w:r>
      <w:r>
        <w:t xml:space="preserve"> </w:t>
      </w:r>
      <w:r>
        <w:rPr>
          <w:iCs/>
          <w:i/>
        </w:rPr>
        <w:t xml:space="preserve">You can learn more about what the alignment software BWA-MEM is doing if you scroll down below the execute button</w:t>
      </w:r>
      <w:r>
        <w:t xml:space="preserve">. Click execute.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50.png" id="0" name="Picture"/>
                    <pic:cNvPicPr>
                      <a:picLocks noChangeArrowheads="1" noChangeAspect="1"/>
                    </pic:cNvPicPr>
                  </pic:nvPicPr>
                  <pic:blipFill>
                    <a:blip r:embed="rId73"/>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 output file is a</w:t>
      </w:r>
      <w:r>
        <w:t xml:space="preserve"> </w:t>
      </w:r>
      <w:r>
        <w:rPr>
          <w:rStyle w:val="VerbatimChar"/>
        </w:rPr>
        <w:t xml:space="preserve">BAM</w:t>
      </w:r>
      <w:r>
        <w:t xml:space="preserve"> </w:t>
      </w:r>
      <w:r>
        <w:t xml:space="preserve">file, which lists where each read aligns to the reference genome and whether there are any differences. You can click the eye button to preview the results, but the results are not easy to interpret visually (much like the</w:t>
      </w:r>
      <w:r>
        <w:t xml:space="preserve"> </w:t>
      </w:r>
      <w:r>
        <w:rPr>
          <w:rStyle w:val="VerbatimChar"/>
        </w:rPr>
        <w:t xml:space="preserve">fastq</w:t>
      </w:r>
      <w:r>
        <w:t xml:space="preserve"> </w:t>
      </w:r>
      <w:r>
        <w:t xml:space="preserve">files). Instead you will use a genome viewer in the next step.</w:t>
      </w:r>
    </w:p>
    <w:p>
      <w:pPr>
        <w:pStyle w:val="BodyText"/>
      </w:pPr>
      <w:r>
        <w:t xml:space="preserve">QUESTIONS:</w:t>
      </w:r>
    </w:p>
    <w:p>
      <w:pPr>
        <w:numPr>
          <w:ilvl w:val="0"/>
          <w:numId w:val="1017"/>
        </w:numPr>
      </w:pPr>
      <w:r>
        <w:t xml:space="preserve">What is alignment software (for example, BWA-MEM) actually doing?</w:t>
      </w:r>
    </w:p>
    <w:p>
      <w:pPr>
        <w:numPr>
          <w:ilvl w:val="0"/>
          <w:numId w:val="1017"/>
        </w:numPr>
      </w:pPr>
      <w:r>
        <w:t xml:space="preserve">Here we are using paired fastq (</w:t>
      </w:r>
      <w:r>
        <w:t xml:space="preserve">“</w:t>
      </w:r>
      <w:r>
        <w:t xml:space="preserve">paired end</w:t>
      </w:r>
      <w:r>
        <w:t xml:space="preserve">”</w:t>
      </w:r>
      <w:r>
        <w:t xml:space="preserve">) data. What is an advantage of using paired data?</w:t>
      </w:r>
    </w:p>
    <w:bookmarkEnd w:id="74"/>
    <w:bookmarkStart w:id="85" w:name="exercise-three-viewing-aligned-data"/>
    <w:p>
      <w:pPr>
        <w:pStyle w:val="Heading2"/>
      </w:pPr>
      <w:r>
        <w:rPr>
          <w:rStyle w:val="SectionNumber"/>
        </w:rPr>
        <w:t xml:space="preserve">8.5</w:t>
      </w:r>
      <w:r>
        <w:tab/>
      </w:r>
      <w:r>
        <w:t xml:space="preserve">Exercise Three: Viewing aligned data</w:t>
      </w:r>
    </w:p>
    <w:p>
      <w:pPr>
        <w:pStyle w:val="FirstParagraph"/>
      </w:pPr>
      <w:r>
        <w:t xml:space="preserve">We have aligned our data but it is currently a table of where the reads align. This is hard to read, so we will use JBrowse to view the data.</w:t>
      </w:r>
    </w:p>
    <w:p>
      <w:pPr>
        <w:pStyle w:val="BodyText"/>
      </w:pPr>
      <w:r>
        <w:t xml:space="preserve">Go to STATISTICS AND VISUALIZATION: Graph/Display Data and select</w:t>
      </w:r>
      <w:r>
        <w:t xml:space="preserve"> </w:t>
      </w:r>
      <w:r>
        <w:t xml:space="preserve">“</w:t>
      </w:r>
      <w:r>
        <w:t xml:space="preserve">JBrowse</w:t>
      </w:r>
      <w:r>
        <w:t xml:space="preserve">”</w:t>
      </w:r>
      <w:r>
        <w:t xml:space="preserve">. Under</w:t>
      </w:r>
      <w:r>
        <w:t xml:space="preserve"> </w:t>
      </w:r>
      <w:r>
        <w:t xml:space="preserve">“</w:t>
      </w:r>
      <w:r>
        <w:t xml:space="preserve">Reference genome to display</w:t>
      </w:r>
      <w:r>
        <w:t xml:space="preserve">”</w:t>
      </w:r>
      <w:r>
        <w:t xml:space="preserve"> </w:t>
      </w:r>
      <w:r>
        <w:t xml:space="preserve">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 Click</w:t>
      </w:r>
      <w:r>
        <w:t xml:space="preserve"> </w:t>
      </w:r>
      <w:r>
        <w:t xml:space="preserve">“</w:t>
      </w:r>
      <w:r>
        <w:t xml:space="preserve">Execute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61.png" id="0" name="Picture"/>
                    <pic:cNvPicPr>
                      <a:picLocks noChangeArrowheads="1" noChangeAspect="1"/>
                    </pic:cNvPicPr>
                  </pic:nvPicPr>
                  <pic:blipFill>
                    <a:blip r:embed="rId75"/>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should see a new JBrowse item appear in your history. Click the eye icon (</w:t>
      </w:r>
      <w:bookmarkStart w:id="76"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8"/>
                    <a:stretch>
                      <a:fillRect/>
                    </a:stretch>
                  </pic:blipFill>
                  <pic:spPr bwMode="auto">
                    <a:xfrm>
                      <a:off x="0" y="0"/>
                      <a:ext cx="238125" cy="190500"/>
                    </a:xfrm>
                    <a:prstGeom prst="rect">
                      <a:avLst/>
                    </a:prstGeom>
                    <a:noFill/>
                    <a:ln w="9525">
                      <a:noFill/>
                      <a:headEnd/>
                      <a:tailEnd/>
                    </a:ln>
                  </pic:spPr>
                </pic:pic>
              </a:graphicData>
            </a:graphic>
          </wp:inline>
        </w:drawing>
      </w:r>
      <w:bookmarkEnd w:id="76"/>
      <w:r>
        <w:t xml:space="preserve">) to open JBrowse. You will need to click on the magnifying glasses to zoom in, but you should see the A,C,G, and Ts and their corresponding colors that make up the SARS-CoV-2 genome!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72.png" id="0" name="Picture"/>
                    <pic:cNvPicPr>
                      <a:picLocks noChangeArrowheads="1" noChangeAspect="1"/>
                    </pic:cNvPicPr>
                  </pic:nvPicPr>
                  <pic:blipFill>
                    <a:blip r:embed="rId7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This is interesting, but it doesn’t let us compare the genome to the sample we have. We suspect there may be some differences that indicate our sample is the delta variant. Go back to STATISTICS AND VISUALIZATION: Graph/Display Data and select</w:t>
      </w:r>
      <w:r>
        <w:t xml:space="preserve"> </w:t>
      </w:r>
      <w:r>
        <w:t xml:space="preserve">“</w:t>
      </w:r>
      <w:r>
        <w:t xml:space="preserve">JBrowse</w:t>
      </w:r>
      <w:r>
        <w:t xml:space="preserve">”</w:t>
      </w:r>
      <w:r>
        <w:t xml:space="preserve">. Just like before, under</w:t>
      </w:r>
      <w:r>
        <w:t xml:space="preserve"> </w:t>
      </w:r>
      <w:r>
        <w:t xml:space="preserve">“</w:t>
      </w:r>
      <w:r>
        <w:t xml:space="preserve">Reference genome to display</w:t>
      </w:r>
      <w:r>
        <w:t xml:space="preserve">”</w:t>
      </w:r>
      <w:r>
        <w:t xml:space="preserve">, 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w:t>
      </w:r>
    </w:p>
    <w:p>
      <w:pPr>
        <w:pStyle w:val="BodyText"/>
      </w:pPr>
      <w:r>
        <w:t xml:space="preserve">This time, we’ll add our alignment data from</w:t>
      </w:r>
      <w:r>
        <w:t xml:space="preserve"> </w:t>
      </w:r>
      <w:hyperlink w:anchor="exercise-two">
        <w:r>
          <w:rPr>
            <w:rStyle w:val="Hyperlink"/>
          </w:rPr>
          <w:t xml:space="preserve">Exercise Two</w:t>
        </w:r>
      </w:hyperlink>
      <w:r>
        <w:t xml:space="preserve">. Click the</w:t>
      </w:r>
      <w:r>
        <w:t xml:space="preserve"> </w:t>
      </w:r>
      <w:r>
        <w:t xml:space="preserve">“</w:t>
      </w:r>
      <w:r>
        <w:t xml:space="preserve">+ Insert Track Group</w:t>
      </w:r>
      <w:r>
        <w:t xml:space="preserve">”</w:t>
      </w:r>
      <w:r>
        <w:t xml:space="preserve"> </w:t>
      </w:r>
      <w:r>
        <w:t xml:space="preserve">button.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83.png" id="0" name="Picture"/>
                    <pic:cNvPicPr>
                      <a:picLocks noChangeArrowheads="1" noChangeAspect="1"/>
                    </pic:cNvPicPr>
                  </pic:nvPicPr>
                  <pic:blipFill>
                    <a:blip r:embed="rId78"/>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Click</w:t>
      </w:r>
      <w:r>
        <w:t xml:space="preserve"> </w:t>
      </w:r>
      <w:r>
        <w:t xml:space="preserve">“</w:t>
      </w:r>
      <w:r>
        <w:t xml:space="preserve">+ Insert Annotation Track</w:t>
      </w:r>
      <w:r>
        <w:t xml:space="preserve">”</w:t>
      </w:r>
      <w:r>
        <w:t xml:space="preserve"> </w:t>
      </w:r>
      <w:r>
        <w:t xml:space="preserve">to add our alignment data.</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92.png" id="0" name="Picture"/>
                    <pic:cNvPicPr>
                      <a:picLocks noChangeArrowheads="1" noChangeAspect="1"/>
                    </pic:cNvPicPr>
                  </pic:nvPicPr>
                  <pic:blipFill>
                    <a:blip r:embed="rId79"/>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You’ll keep everything the same except the following:</w:t>
      </w:r>
    </w:p>
    <w:p>
      <w:pPr>
        <w:numPr>
          <w:ilvl w:val="0"/>
          <w:numId w:val="1018"/>
        </w:numPr>
        <w:pStyle w:val="Compact"/>
      </w:pPr>
      <w:r>
        <w:rPr>
          <w:bCs/>
          <w:b/>
        </w:rPr>
        <w:t xml:space="preserve">Track Type</w:t>
      </w:r>
      <w:r>
        <w:t xml:space="preserve">: BAM Pileups</w:t>
      </w:r>
    </w:p>
    <w:p>
      <w:pPr>
        <w:numPr>
          <w:ilvl w:val="0"/>
          <w:numId w:val="1018"/>
        </w:numPr>
        <w:pStyle w:val="Compact"/>
      </w:pPr>
      <w:r>
        <w:rPr>
          <w:bCs/>
          <w:b/>
        </w:rPr>
        <w:t xml:space="preserve">Autogenerate SNP Track</w:t>
      </w:r>
      <w:r>
        <w:t xml:space="preserve">: Yes</w:t>
      </w:r>
    </w:p>
    <w:p>
      <w:pPr>
        <w:numPr>
          <w:ilvl w:val="0"/>
          <w:numId w:val="1018"/>
        </w:numPr>
        <w:pStyle w:val="Compact"/>
      </w:pPr>
      <w:r>
        <w:rPr>
          <w:bCs/>
          <w:b/>
        </w:rPr>
        <w:t xml:space="preserve">Maximum size of BAM chunks</w:t>
      </w:r>
      <w:r>
        <w:t xml:space="preserve">: Add one more zero: 50000000</w:t>
      </w:r>
    </w:p>
    <w:p>
      <w:pPr>
        <w:pStyle w:val="FirstParagraph"/>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99.png" id="0" name="Picture"/>
                    <pic:cNvPicPr>
                      <a:picLocks noChangeArrowheads="1" noChangeAspect="1"/>
                    </pic:cNvPicPr>
                  </pic:nvPicPr>
                  <pic:blipFill>
                    <a:blip r:embed="rId8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These arguments tell JBrowse what kind of data we are using, as well as some memory options. Click</w:t>
      </w:r>
      <w:r>
        <w:t xml:space="preserve"> </w:t>
      </w:r>
      <w:r>
        <w:t xml:space="preserve">“</w:t>
      </w:r>
      <w:r>
        <w:t xml:space="preserve">Execute</w:t>
      </w:r>
      <w:r>
        <w:t xml:space="preserve">”</w:t>
      </w:r>
      <w:r>
        <w:t xml:space="preserve">.</w:t>
      </w:r>
    </w:p>
    <w:p>
      <w:pPr>
        <w:pStyle w:val="BodyText"/>
      </w:pPr>
      <w:r>
        <w:t xml:space="preserve">You should see a new JBrowse item appear in your history. Click the eye icon (</w:t>
      </w:r>
      <w:bookmarkStart w:id="81"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8"/>
                    <a:stretch>
                      <a:fillRect/>
                    </a:stretch>
                  </pic:blipFill>
                  <pic:spPr bwMode="auto">
                    <a:xfrm>
                      <a:off x="0" y="0"/>
                      <a:ext cx="238125" cy="190500"/>
                    </a:xfrm>
                    <a:prstGeom prst="rect">
                      <a:avLst/>
                    </a:prstGeom>
                    <a:noFill/>
                    <a:ln w="9525">
                      <a:noFill/>
                      <a:headEnd/>
                      <a:tailEnd/>
                    </a:ln>
                  </pic:spPr>
                </pic:pic>
              </a:graphicData>
            </a:graphic>
          </wp:inline>
        </w:drawing>
      </w:r>
      <w:bookmarkEnd w:id="81"/>
      <w:r>
        <w:t xml:space="preserve">) to open JBrowse. Make sure that all boxes are checked on the left side:</w:t>
      </w:r>
      <w:r>
        <w:t xml:space="preserve"> </w:t>
      </w:r>
      <w:r>
        <w:t xml:space="preserve">“</w:t>
      </w:r>
      <w:r>
        <w:t xml:space="preserve">Available Tracks</w:t>
      </w:r>
      <w:r>
        <w:t xml:space="preserve">”</w:t>
      </w:r>
      <w:r>
        <w:t xml:space="preserve">. Note that the tracks show up in the order that you click on them.</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a95c9e4ef_0_20.png" id="0" name="Picture"/>
                    <pic:cNvPicPr>
                      <a:picLocks noChangeArrowheads="1" noChangeAspect="1"/>
                    </pic:cNvPicPr>
                  </pic:nvPicPr>
                  <pic:blipFill>
                    <a:blip r:embed="rId8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Let’s look at an example mutation in our sample. Type in the reference position</w:t>
      </w:r>
      <w:r>
        <w:t xml:space="preserve"> </w:t>
      </w:r>
      <w:r>
        <w:t xml:space="preserve">“</w:t>
      </w:r>
      <w:r>
        <w:t xml:space="preserve">24410</w:t>
      </w:r>
      <w:r>
        <w:t xml:space="preserve">”</w:t>
      </w:r>
      <w:r>
        <w:t xml:space="preserve"> </w:t>
      </w:r>
      <w:r>
        <w:t xml:space="preserve">and click</w:t>
      </w:r>
      <w:r>
        <w:t xml:space="preserve"> </w:t>
      </w:r>
      <w:r>
        <w:t xml:space="preserve">“</w:t>
      </w:r>
      <w:r>
        <w:t xml:space="preserve">Go</w:t>
      </w:r>
      <w:r>
        <w:t xml:space="preserve">”</w:t>
      </w:r>
      <w:r>
        <w:t xml:space="preserve">. You should see a bunch of</w:t>
      </w:r>
      <w:r>
        <w:t xml:space="preserve"> </w:t>
      </w:r>
      <w:r>
        <w:t xml:space="preserve">“</w:t>
      </w:r>
      <w:r>
        <w:t xml:space="preserve">A</w:t>
      </w:r>
      <w:r>
        <w:t xml:space="preserve">”</w:t>
      </w:r>
      <w:r>
        <w:t xml:space="preserve">s highlighted in green throughout our sample. The reference sequence (top line) is a</w:t>
      </w:r>
      <w:r>
        <w:t xml:space="preserve"> </w:t>
      </w:r>
      <w:r>
        <w:t xml:space="preserve">“</w:t>
      </w:r>
      <w:r>
        <w:t xml:space="preserve">G</w:t>
      </w:r>
      <w:r>
        <w:t xml:space="preserve">”</w:t>
      </w:r>
      <w:r>
        <w:t xml:space="preserve"> </w:t>
      </w:r>
      <w:r>
        <w:t xml:space="preserve">but all of the reads are an</w:t>
      </w:r>
      <w:r>
        <w:t xml:space="preserve"> </w:t>
      </w:r>
      <w:r>
        <w:t xml:space="preserve">“</w:t>
      </w:r>
      <w:r>
        <w:t xml:space="preserve">A</w:t>
      </w:r>
      <w:r>
        <w:t xml:space="preserve">”</w:t>
      </w:r>
      <w:r>
        <w:t xml:space="preserve">. This means that our sample is genetically different from the established SARS-CoV-2 reference genome! Researchers often call these single base differences</w:t>
      </w:r>
      <w:r>
        <w:t xml:space="preserve"> </w:t>
      </w:r>
      <w:r>
        <w:t xml:space="preserve">“</w:t>
      </w:r>
      <w:r>
        <w:t xml:space="preserve">SNPs</w:t>
      </w:r>
      <w:r>
        <w:t xml:space="preserve">”</w:t>
      </w:r>
      <w:r>
        <w:t xml:space="preserve"> </w:t>
      </w:r>
      <w:r>
        <w:t xml:space="preserve">- Single Nucleotide Polymorphisms.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09.png" id="0" name="Picture"/>
                    <pic:cNvPicPr>
                      <a:picLocks noChangeArrowheads="1" noChangeAspect="1"/>
                    </pic:cNvPicPr>
                  </pic:nvPicPr>
                  <pic:blipFill>
                    <a:blip r:embed="rId83"/>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9"/>
        </w:numPr>
      </w:pPr>
      <w:r>
        <w:t xml:space="preserve">How long is the SARS-CoV-2 genome? Hint: zoom out and scroll to the end of the genome.</w:t>
      </w:r>
    </w:p>
    <w:p>
      <w:pPr>
        <w:numPr>
          <w:ilvl w:val="0"/>
          <w:numId w:val="1019"/>
        </w:numPr>
      </w:pPr>
      <w:r>
        <w:t xml:space="preserve">Locate position 23,603. This is the site of an important mutation in the spike protein of the delta variant</w:t>
      </w:r>
      <w:r>
        <w:t xml:space="preserve"> </w:t>
      </w:r>
      <w:r>
        <w:t xml:space="preserve">“</w:t>
      </w:r>
      <w:r>
        <w:t xml:space="preserve">P681R</w:t>
      </w:r>
      <w:r>
        <w:t xml:space="preserve">”</w:t>
      </w:r>
      <w:r>
        <w:t xml:space="preserve">. In this mutation, the amino acid proline is replaced by arginine. Is this mutation present at position 23,603 in our sample? Based on the evidence, do you think this sample is a delta variant?</w:t>
      </w:r>
    </w:p>
    <w:p>
      <w:pPr>
        <w:pStyle w:val="FirstParagraph"/>
      </w:pPr>
      <w:r>
        <w:rPr>
          <w:bCs/>
          <w:b/>
        </w:rPr>
        <w:t xml:space="preserve">Breakout Box: Sequencing errors</w:t>
      </w:r>
    </w:p>
    <w:p>
      <w:pPr>
        <w:pStyle w:val="BodyText"/>
      </w:pPr>
      <w:r>
        <w:t xml:space="preserve">It’s possible to make mistakes in the data preparation before we get to the data analysis. Sometimes this happens when the samples are being prepared in the lab and sometimes this happens because the sequencer makes a mistake. This is one reason why quality scores are helpful. With millions of reads of data, it’s more likely that we see a</w:t>
      </w:r>
      <w:r>
        <w:t xml:space="preserve"> </w:t>
      </w:r>
      <w:r>
        <w:t xml:space="preserve">“</w:t>
      </w:r>
      <w:r>
        <w:t xml:space="preserve">SNP</w:t>
      </w:r>
      <w:r>
        <w:t xml:space="preserve">”</w:t>
      </w:r>
      <w:r>
        <w:t xml:space="preserve"> </w:t>
      </w:r>
      <w:r>
        <w:t xml:space="preserve">that is actually an accident. Multiple copies of the same areas of our data (</w:t>
      </w:r>
      <w:r>
        <w:t xml:space="preserve">“</w:t>
      </w:r>
      <w:r>
        <w:t xml:space="preserve">read depth</w:t>
      </w:r>
      <w:r>
        <w:t xml:space="preserve">”</w:t>
      </w:r>
      <w:r>
        <w:t xml:space="preserve">) help us be sure it’s a real SNP. When we compare across lots of aligned reads of the same area, we can determine the actual sequence by consensus. For example, we can be reasonably confident that the</w:t>
      </w:r>
      <w:r>
        <w:t xml:space="preserve"> </w:t>
      </w:r>
      <w:r>
        <w:t xml:space="preserve">“</w:t>
      </w:r>
      <w:r>
        <w:t xml:space="preserve">G</w:t>
      </w:r>
      <w:r>
        <w:t xml:space="preserve">”</w:t>
      </w:r>
      <w:r>
        <w:t xml:space="preserve"> </w:t>
      </w:r>
      <w:r>
        <w:t xml:space="preserve">at position 1,203 shown below is just a sequencing or lab mistake.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27.png" id="0" name="Picture"/>
                    <pic:cNvPicPr>
                      <a:picLocks noChangeArrowheads="1" noChangeAspect="1"/>
                    </pic:cNvPicPr>
                  </pic:nvPicPr>
                  <pic:blipFill>
                    <a:blip r:embed="rId84"/>
                    <a:stretch>
                      <a:fillRect/>
                    </a:stretch>
                  </pic:blipFill>
                  <pic:spPr bwMode="auto">
                    <a:xfrm>
                      <a:off x="0" y="0"/>
                      <a:ext cx="5943600" cy="3343275"/>
                    </a:xfrm>
                    <a:prstGeom prst="rect">
                      <a:avLst/>
                    </a:prstGeom>
                    <a:noFill/>
                    <a:ln w="9525">
                      <a:noFill/>
                      <a:headEnd/>
                      <a:tailEnd/>
                    </a:ln>
                  </pic:spPr>
                </pic:pic>
              </a:graphicData>
            </a:graphic>
          </wp:inline>
        </w:drawing>
      </w:r>
    </w:p>
    <w:bookmarkEnd w:id="85"/>
    <w:bookmarkStart w:id="89" w:name="wrap-up"/>
    <w:p>
      <w:pPr>
        <w:pStyle w:val="Heading2"/>
      </w:pPr>
      <w:r>
        <w:rPr>
          <w:rStyle w:val="SectionNumber"/>
        </w:rPr>
        <w:t xml:space="preserve">8.6</w:t>
      </w:r>
      <w:r>
        <w:tab/>
      </w:r>
      <w:r>
        <w:t xml:space="preserve">Wrap-up</w:t>
      </w:r>
    </w:p>
    <w:p>
      <w:pPr>
        <w:pStyle w:val="FirstParagraph"/>
      </w:pPr>
      <w:r>
        <w:t xml:space="preserve">Once you are done with the activity, you’ll need to shut down your Galaxy cloud environment. This frees up the cloud resources for others and minimizes computing cost. The following steps will delete your work, so make sure you are completely finished at this point. Otherwise, you will have to repeat your work from the previous steps.</w:t>
      </w:r>
    </w:p>
    <w:p>
      <w:pPr>
        <w:pStyle w:val="BodyText"/>
      </w:pPr>
      <w:r>
        <w:t xml:space="preserve">Return to AnVIL, and find the Galaxy logo that shows your cloud environment is running. Click on this logo:</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34.png" id="0" name="Picture"/>
                    <pic:cNvPicPr>
                      <a:picLocks noChangeArrowheads="1" noChangeAspect="1"/>
                    </pic:cNvPicPr>
                  </pic:nvPicPr>
                  <pic:blipFill>
                    <a:blip r:embed="rId8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Next, click on</w:t>
      </w:r>
      <w:r>
        <w:t xml:space="preserve"> </w:t>
      </w:r>
      <w:r>
        <w:t xml:space="preserve">“</w:t>
      </w:r>
      <w:r>
        <w:t xml:space="preserve">DELETE ENVIRONMENT OPTIONS</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40.png" id="0" name="Picture"/>
                    <pic:cNvPicPr>
                      <a:picLocks noChangeArrowheads="1" noChangeAspect="1"/>
                    </pic:cNvPicPr>
                  </pic:nvPicPr>
                  <pic:blipFill>
                    <a:blip r:embed="rId8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Finally, select</w:t>
      </w:r>
      <w:r>
        <w:t xml:space="preserve"> </w:t>
      </w:r>
      <w:r>
        <w:t xml:space="preserve">“</w:t>
      </w:r>
      <w:r>
        <w:t xml:space="preserve">Delete everything, including persistent disk</w:t>
      </w:r>
      <w:r>
        <w:t xml:space="preserve">”</w:t>
      </w:r>
      <w:r>
        <w:t xml:space="preserve">. Make sure you are done with the activity and then click</w:t>
      </w:r>
      <w:r>
        <w:t xml:space="preserve"> </w:t>
      </w:r>
      <w:r>
        <w:t xml:space="preserve">“</w:t>
      </w:r>
      <w:r>
        <w:t xml:space="preserve">DELETE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46.png" id="0" name="Picture"/>
                    <pic:cNvPicPr>
                      <a:picLocks noChangeArrowheads="1" noChangeAspect="1"/>
                    </pic:cNvPicPr>
                  </pic:nvPicPr>
                  <pic:blipFill>
                    <a:blip r:embed="rId88"/>
                    <a:stretch>
                      <a:fillRect/>
                    </a:stretch>
                  </pic:blipFill>
                  <pic:spPr bwMode="auto">
                    <a:xfrm>
                      <a:off x="0" y="0"/>
                      <a:ext cx="5943600" cy="3343275"/>
                    </a:xfrm>
                    <a:prstGeom prst="rect">
                      <a:avLst/>
                    </a:prstGeom>
                    <a:noFill/>
                    <a:ln w="9525">
                      <a:noFill/>
                      <a:headEnd/>
                      <a:tailEnd/>
                    </a:ln>
                  </pic:spPr>
                </pic:pic>
              </a:graphicData>
            </a:graphic>
          </wp:inline>
        </w:drawing>
      </w:r>
    </w:p>
    <w:bookmarkEnd w:id="89"/>
    <w:bookmarkEnd w:id="90"/>
    <w:bookmarkStart w:id="91" w:name="appendix"/>
    <w:p>
      <w:pPr>
        <w:pStyle w:val="Heading1"/>
      </w:pPr>
      <w:r>
        <w:t xml:space="preserve">Appendix</w:t>
      </w:r>
    </w:p>
    <w:bookmarkEnd w:id="91"/>
    <w:bookmarkStart w:id="92" w:name="register-and-solutions"/>
    <w:p>
      <w:pPr>
        <w:pStyle w:val="Heading1"/>
      </w:pPr>
      <w:r>
        <w:rPr>
          <w:rStyle w:val="SectionNumber"/>
        </w:rPr>
        <w:t xml:space="preserve">9</w:t>
      </w:r>
      <w:r>
        <w:tab/>
      </w:r>
      <w:r>
        <w:t xml:space="preserve">Register and Solutions</w:t>
      </w:r>
    </w:p>
    <w:p>
      <w:pPr>
        <w:pStyle w:val="FirstParagraph"/>
      </w:pPr>
      <w:r>
        <w:t xml:space="preserve">Coming soon!</w:t>
      </w:r>
    </w:p>
    <w:bookmarkEnd w:id="92"/>
    <w:bookmarkStart w:id="95" w:name="help"/>
    <w:p>
      <w:pPr>
        <w:pStyle w:val="Heading1"/>
      </w:pPr>
      <w:r>
        <w:rPr>
          <w:rStyle w:val="SectionNumber"/>
        </w:rPr>
        <w:t xml:space="preserve">10</w:t>
      </w:r>
      <w:r>
        <w:tab/>
      </w:r>
      <w:r>
        <w:t xml:space="preserve">Help</w:t>
      </w:r>
    </w:p>
    <w:p>
      <w:pPr>
        <w:pStyle w:val="FirstParagraph"/>
      </w:pPr>
      <w:r>
        <w:t xml:space="preserve">We welcome any and all questions at our</w:t>
      </w:r>
      <w:r>
        <w:t xml:space="preserve"> </w:t>
      </w:r>
      <w:hyperlink r:id="rId93">
        <w:r>
          <w:rPr>
            <w:rStyle w:val="Hyperlink"/>
          </w:rPr>
          <w:t xml:space="preserve">Discourse Channel</w:t>
        </w:r>
      </w:hyperlink>
      <w:r>
        <w:t xml:space="preserve">.</w:t>
      </w:r>
    </w:p>
    <w:p>
      <w:pPr>
        <w:pStyle w:val="BodyText"/>
      </w:pPr>
      <w:r>
        <w:t xml:space="preserve">If you have feedback on the activity (Found a typo? Have a suggestion or idea?) please</w:t>
      </w:r>
      <w:r>
        <w:t xml:space="preserve"> </w:t>
      </w:r>
      <w:hyperlink r:id="rId94">
        <w:r>
          <w:rPr>
            <w:rStyle w:val="Hyperlink"/>
          </w:rPr>
          <w:t xml:space="preserve">submit an issue on our GitHub repository</w:t>
        </w:r>
      </w:hyperlink>
      <w:r>
        <w:t xml:space="preserve">. You will need to make a GitHub account if you haven’t done so yet.</w:t>
      </w:r>
    </w:p>
    <w:bookmarkEnd w:id="95"/>
    <w:bookmarkStart w:id="98" w:name="galaxy-training-network"/>
    <w:p>
      <w:pPr>
        <w:pStyle w:val="Heading1"/>
      </w:pPr>
      <w:r>
        <w:rPr>
          <w:rStyle w:val="SectionNumber"/>
        </w:rPr>
        <w:t xml:space="preserve">11</w:t>
      </w:r>
      <w:r>
        <w:tab/>
      </w:r>
      <w:r>
        <w:t xml:space="preserve">Galaxy Training Network</w:t>
      </w:r>
    </w:p>
    <w:p>
      <w:pPr>
        <w:pStyle w:val="FirstParagraph"/>
      </w:pPr>
      <w:r>
        <w:t xml:space="preserve">Depending on your needs, you might decide to run this Galaxy activity on a different cloud provider, such as the original</w:t>
      </w:r>
      <w:r>
        <w:t xml:space="preserve"> </w:t>
      </w:r>
      <w:hyperlink r:id="rId96">
        <w:r>
          <w:rPr>
            <w:rStyle w:val="Hyperlink"/>
          </w:rPr>
          <w:t xml:space="preserve">usegalaxy.org</w:t>
        </w:r>
      </w:hyperlink>
      <w:r>
        <w:t xml:space="preserve">.</w:t>
      </w:r>
    </w:p>
    <w:p>
      <w:pPr>
        <w:pStyle w:val="BodyText"/>
      </w:pPr>
      <w:r>
        <w:t xml:space="preserve">More information about Galaxy is available at</w:t>
      </w:r>
      <w:r>
        <w:t xml:space="preserve"> </w:t>
      </w:r>
      <w:hyperlink r:id="rId97">
        <w:r>
          <w:rPr>
            <w:rStyle w:val="Hyperlink"/>
          </w:rPr>
          <w:t xml:space="preserve">training.galaxyproject.org</w:t>
        </w:r>
      </w:hyperlink>
      <w:r>
        <w:t xml:space="preserve">.</w:t>
      </w:r>
    </w:p>
    <w:bookmarkEnd w:id="98"/>
    <w:bookmarkStart w:id="100" w:name="download"/>
    <w:p>
      <w:pPr>
        <w:pStyle w:val="Heading1"/>
      </w:pPr>
      <w:r>
        <w:rPr>
          <w:rStyle w:val="SectionNumber"/>
        </w:rPr>
        <w:t xml:space="preserve">12</w:t>
      </w:r>
      <w:r>
        <w:tab/>
      </w:r>
      <w:r>
        <w:t xml:space="preserve">Download</w:t>
      </w:r>
    </w:p>
    <w:p>
      <w:pPr>
        <w:pStyle w:val="FirstParagraph"/>
      </w:pPr>
      <w:r>
        <w:t xml:space="preserve">Download this entire book as a Microsoft Word and Google Doc compatible</w:t>
      </w:r>
      <w:r>
        <w:t xml:space="preserve"> </w:t>
      </w:r>
      <w:r>
        <w:rPr>
          <w:rStyle w:val="VerbatimChar"/>
        </w:rPr>
        <w:t xml:space="preserve">docx</w:t>
      </w:r>
      <w:r>
        <w:t xml:space="preserve"> </w:t>
      </w:r>
      <w:r>
        <w:t xml:space="preserve">file</w:t>
      </w:r>
      <w:r>
        <w:t xml:space="preserve"> </w:t>
      </w:r>
      <w:hyperlink r:id="rId99">
        <w:r>
          <w:rPr>
            <w:rStyle w:val="Hyperlink"/>
          </w:rPr>
          <w:t xml:space="preserve">here</w:t>
        </w:r>
      </w:hyperlink>
      <w:r>
        <w:t xml:space="preserve">. If you do so, please remember to check back here for updates!</w:t>
      </w:r>
    </w:p>
    <w:bookmarkEnd w:id="100"/>
    <w:bookmarkStart w:id="102" w:name="give-us-feedback"/>
    <w:p>
      <w:pPr>
        <w:pStyle w:val="Heading1"/>
      </w:pPr>
      <w:r>
        <w:rPr>
          <w:rStyle w:val="SectionNumber"/>
        </w:rPr>
        <w:t xml:space="preserve">13</w:t>
      </w:r>
      <w:r>
        <w:tab/>
      </w:r>
      <w:r>
        <w:t xml:space="preserve">Give Us Feedback</w:t>
      </w:r>
    </w:p>
    <w:p>
      <w:pPr>
        <w:pStyle w:val="FirstParagraph"/>
      </w:pPr>
      <w:r>
        <w:t xml:space="preserve">Thank you for your interest in this book! There are a few ways you can suggest improvements:</w:t>
      </w:r>
    </w:p>
    <w:p>
      <w:pPr>
        <w:pStyle w:val="BodyText"/>
      </w:pPr>
      <w:r>
        <w:t xml:space="preserve"> </w:t>
      </w:r>
    </w:p>
    <w:p>
      <w:pPr>
        <w:numPr>
          <w:ilvl w:val="0"/>
          <w:numId w:val="1020"/>
        </w:numPr>
        <w:pStyle w:val="Compact"/>
      </w:pPr>
      <w:r>
        <w:t xml:space="preserve">Fill out this</w:t>
      </w:r>
      <w:r>
        <w:t xml:space="preserve"> </w:t>
      </w:r>
      <w:hyperlink r:id="rId101">
        <w:r>
          <w:rPr>
            <w:rStyle w:val="Hyperlink"/>
          </w:rPr>
          <w:t xml:space="preserve">Google form</w:t>
        </w:r>
      </w:hyperlink>
      <w:r>
        <w:t xml:space="preserve">.</w:t>
      </w:r>
    </w:p>
    <w:p>
      <w:pPr>
        <w:numPr>
          <w:ilvl w:val="0"/>
          <w:numId w:val="1020"/>
        </w:numPr>
        <w:pStyle w:val="Compact"/>
      </w:pPr>
      <w:r>
        <w:t xml:space="preserve">If you have a GitHub account, you can</w:t>
      </w:r>
      <w:r>
        <w:t xml:space="preserve"> </w:t>
      </w:r>
      <w:hyperlink r:id="rId94">
        <w:r>
          <w:rPr>
            <w:rStyle w:val="Hyperlink"/>
          </w:rPr>
          <w:t xml:space="preserve">raise an issue</w:t>
        </w:r>
      </w:hyperlink>
      <w:r>
        <w:t xml:space="preserve"> </w:t>
      </w:r>
      <w:r>
        <w:t xml:space="preserve">in our repository.</w:t>
      </w:r>
    </w:p>
    <w:p>
      <w:pPr>
        <w:numPr>
          <w:ilvl w:val="0"/>
          <w:numId w:val="1020"/>
        </w:numPr>
        <w:pStyle w:val="Compact"/>
      </w:pPr>
      <w:r>
        <w:t xml:space="preserve">Submit a pull request! Click the pencil icon on any page (top left) to view the source</w:t>
      </w:r>
      <w:r>
        <w:t xml:space="preserve"> </w:t>
      </w:r>
      <w:r>
        <w:rPr>
          <w:rStyle w:val="VerbatimChar"/>
        </w:rPr>
        <w:t xml:space="preserve">.Rmd</w:t>
      </w:r>
      <w:r>
        <w:t xml:space="preserve"> </w:t>
      </w:r>
      <w:r>
        <w:t xml:space="preserve">for the page and suggest changes.</w:t>
      </w:r>
    </w:p>
    <w:bookmarkEnd w:id="102"/>
    <w:bookmarkStart w:id="114" w:name="about-the-authors"/>
    <w:p>
      <w:pPr>
        <w:pStyle w:val="Heading1"/>
      </w:pPr>
      <w:r>
        <w:t xml:space="preserve">About the Authors</w:t>
      </w:r>
    </w:p>
    <w:p>
      <w:pPr>
        <w:pStyle w:val="FirstParagraph"/>
      </w:pPr>
      <w:r>
        <w:t xml:space="preserve">These credits are based on our</w:t>
      </w:r>
      <w:r>
        <w:t xml:space="preserve"> </w:t>
      </w:r>
      <w:hyperlink r:id="rId103">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w:t>
            </w:r>
          </w:p>
        </w:tc>
        <w:tc>
          <w:tcPr/>
          <w:p>
            <w:pPr>
              <w:pStyle w:val="Compact"/>
              <w:jc w:val="left"/>
            </w:pPr>
            <w:hyperlink r:id="rId104">
              <w:r>
                <w:rPr>
                  <w:rStyle w:val="Hyperlink"/>
                </w:rPr>
                <w:t xml:space="preserve">Ava Hoffman</w:t>
              </w:r>
            </w:hyperlink>
          </w:p>
        </w:tc>
      </w:tr>
      <w:tr>
        <w:tc>
          <w:tcPr/>
          <w:p>
            <w:pPr>
              <w:pStyle w:val="Compact"/>
              <w:jc w:val="left"/>
            </w:pPr>
            <w:r>
              <w:t xml:space="preserve">Content Author</w:t>
            </w:r>
          </w:p>
        </w:tc>
        <w:tc>
          <w:tcPr/>
          <w:p>
            <w:pPr>
              <w:pStyle w:val="Compact"/>
              <w:jc w:val="left"/>
            </w:pPr>
            <w:r>
              <w:t xml:space="preserve">Robert Meller</w:t>
            </w:r>
          </w:p>
        </w:tc>
      </w:tr>
      <w:tr>
        <w:tc>
          <w:tcPr/>
          <w:p>
            <w:pPr>
              <w:pStyle w:val="Compact"/>
              <w:jc w:val="left"/>
            </w:pPr>
            <w:r>
              <w:t xml:space="preserve">Content Idea Contributor</w:t>
            </w:r>
          </w:p>
        </w:tc>
        <w:tc>
          <w:tcPr/>
          <w:p>
            <w:pPr>
              <w:pStyle w:val="Compact"/>
              <w:jc w:val="left"/>
            </w:pPr>
            <w:r>
              <w:t xml:space="preserve">Robert Meller</w:t>
            </w:r>
          </w:p>
        </w:tc>
      </w:tr>
      <w:tr>
        <w:tc>
          <w:tcPr/>
          <w:p>
            <w:pPr>
              <w:pStyle w:val="Compact"/>
              <w:jc w:val="left"/>
            </w:pPr>
            <w:r>
              <w:t xml:space="preserve">Content Contributor</w:t>
            </w:r>
          </w:p>
        </w:tc>
        <w:tc>
          <w:tcPr/>
          <w:p>
            <w:pPr>
              <w:pStyle w:val="Compact"/>
              <w:jc w:val="left"/>
            </w:pPr>
            <w:hyperlink r:id="rId105">
              <w:r>
                <w:rPr>
                  <w:rStyle w:val="Hyperlink"/>
                </w:rPr>
                <w:t xml:space="preserve">Jeff Leek</w:t>
              </w:r>
            </w:hyperlink>
            <w:r>
              <w:t xml:space="preserve">,</w:t>
            </w:r>
            <w:r>
              <w:t xml:space="preserve"> </w:t>
            </w:r>
            <w:hyperlink r:id="rId106">
              <w:r>
                <w:rPr>
                  <w:rStyle w:val="Hyperlink"/>
                </w:rPr>
                <w:t xml:space="preserve">Michael Schatz</w:t>
              </w:r>
            </w:hyperlink>
            <w:r>
              <w:t xml:space="preserve">,</w:t>
            </w:r>
            <w:r>
              <w:t xml:space="preserve"> </w:t>
            </w:r>
            <w:hyperlink r:id="rId107">
              <w:r>
                <w:rPr>
                  <w:rStyle w:val="Hyperlink"/>
                </w:rPr>
                <w:t xml:space="preserve">Frederick Tan</w:t>
              </w:r>
            </w:hyperlink>
          </w:p>
        </w:tc>
      </w:tr>
      <w:tr>
        <w:tc>
          <w:tcPr/>
          <w:p>
            <w:pPr>
              <w:pStyle w:val="Compact"/>
              <w:jc w:val="left"/>
            </w:pPr>
            <w:r>
              <w:t xml:space="preserve">Content Editors</w:t>
            </w:r>
          </w:p>
        </w:tc>
        <w:tc>
          <w:tcPr/>
          <w:p>
            <w:pPr>
              <w:pStyle w:val="Compact"/>
              <w:jc w:val="left"/>
            </w:pPr>
            <w:hyperlink r:id="rId108">
              <w:r>
                <w:rPr>
                  <w:rStyle w:val="Hyperlink"/>
                </w:rPr>
                <w:t xml:space="preserve">Katherine Cox</w:t>
              </w:r>
            </w:hyperlink>
            <w:r>
              <w:t xml:space="preserve">, Natalie Kucher,</w:t>
            </w:r>
            <w:r>
              <w:t xml:space="preserve"> </w:t>
            </w:r>
            <w:hyperlink r:id="rId107">
              <w:r>
                <w:rPr>
                  <w:rStyle w:val="Hyperlink"/>
                </w:rPr>
                <w:t xml:space="preserve">Frederick Tan</w:t>
              </w:r>
            </w:hyperlink>
          </w:p>
        </w:tc>
      </w:tr>
      <w:tr>
        <w:tc>
          <w:tcPr/>
          <w:p>
            <w:pPr>
              <w:pStyle w:val="Compact"/>
              <w:jc w:val="left"/>
            </w:pPr>
            <w:r>
              <w:t xml:space="preserve">Content Directors</w:t>
            </w:r>
          </w:p>
        </w:tc>
        <w:tc>
          <w:tcPr/>
          <w:p>
            <w:pPr>
              <w:pStyle w:val="Compact"/>
              <w:jc w:val="left"/>
            </w:pPr>
            <w:hyperlink r:id="rId105">
              <w:r>
                <w:rPr>
                  <w:rStyle w:val="Hyperlink"/>
                </w:rPr>
                <w:t xml:space="preserve">Jeff Leek</w:t>
              </w:r>
            </w:hyperlink>
            <w:r>
              <w:t xml:space="preserve">,</w:t>
            </w:r>
            <w:r>
              <w:t xml:space="preserve"> </w:t>
            </w:r>
            <w:hyperlink r:id="rId107">
              <w:r>
                <w:rPr>
                  <w:rStyle w:val="Hyperlink"/>
                </w:rPr>
                <w:t xml:space="preserve">Frederick Tan</w:t>
              </w:r>
            </w:hyperlink>
          </w:p>
        </w:tc>
      </w:tr>
      <w:tr>
        <w:tc>
          <w:tcPr/>
          <w:p>
            <w:pPr>
              <w:pStyle w:val="Compact"/>
              <w:jc w:val="left"/>
            </w:pPr>
            <w:r>
              <w:t xml:space="preserve">Content Consultants (General)</w:t>
            </w:r>
          </w:p>
        </w:tc>
        <w:tc>
          <w:tcPr/>
          <w:p>
            <w:pPr>
              <w:pStyle w:val="Compact"/>
              <w:jc w:val="left"/>
            </w:pPr>
            <w:hyperlink r:id="rId105">
              <w:r>
                <w:rPr>
                  <w:rStyle w:val="Hyperlink"/>
                </w:rPr>
                <w:t xml:space="preserve">Jeff Leek</w:t>
              </w:r>
            </w:hyperlink>
            <w:r>
              <w:t xml:space="preserve">, Tiffany Rolle,</w:t>
            </w:r>
            <w:r>
              <w:t xml:space="preserve"> </w:t>
            </w:r>
            <w:hyperlink r:id="rId107">
              <w:r>
                <w:rPr>
                  <w:rStyle w:val="Hyperlink"/>
                </w:rPr>
                <w:t xml:space="preserve">Frederick Tan</w:t>
              </w:r>
            </w:hyperlink>
            <w:r>
              <w:t xml:space="preserve">,</w:t>
            </w:r>
            <w:r>
              <w:t xml:space="preserve"> </w:t>
            </w:r>
            <w:hyperlink r:id="rId109">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110">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Template Publishing Engineers</w:t>
            </w:r>
          </w:p>
        </w:tc>
        <w:tc>
          <w:tcPr/>
          <w:p>
            <w:pPr>
              <w:pStyle w:val="Compact"/>
              <w:jc w:val="left"/>
            </w:pPr>
            <w:hyperlink r:id="rId111">
              <w:r>
                <w:rPr>
                  <w:rStyle w:val="Hyperlink"/>
                </w:rPr>
                <w:t xml:space="preserve">Candace Savonen</w:t>
              </w:r>
            </w:hyperlink>
            <w:r>
              <w:t xml:space="preserve">,</w:t>
            </w:r>
            <w:r>
              <w:t xml:space="preserve"> </w:t>
            </w:r>
            <w:hyperlink r:id="rId109">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11">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09">
              <w:r>
                <w:rPr>
                  <w:rStyle w:val="Hyperlink"/>
                </w:rPr>
                <w:t xml:space="preserve">Carrie Wright</w:t>
              </w:r>
            </w:hyperlink>
            <w:r>
              <w:t xml:space="preserve">,</w:t>
            </w:r>
            <w:r>
              <w:t xml:space="preserve"> </w:t>
            </w:r>
            <w:hyperlink r:id="rId111">
              <w:r>
                <w:rPr>
                  <w:rStyle w:val="Hyperlink"/>
                </w:rPr>
                <w:t xml:space="preserve">Candace Savonen</w:t>
              </w:r>
            </w:hyperlink>
          </w:p>
        </w:tc>
      </w:tr>
      <w:tr>
        <w:tc>
          <w:tcPr/>
          <w:p>
            <w:pPr>
              <w:pStyle w:val="Compact"/>
              <w:jc w:val="left"/>
            </w:pPr>
            <w:r>
              <w:t xml:space="preserve">Package Developers ([Leanbuild])</w:t>
            </w:r>
          </w:p>
        </w:tc>
        <w:tc>
          <w:tcPr/>
          <w:p>
            <w:pPr>
              <w:pStyle w:val="Compact"/>
              <w:jc w:val="left"/>
            </w:pPr>
            <w:hyperlink r:id="rId112">
              <w:r>
                <w:rPr>
                  <w:rStyle w:val="Hyperlink"/>
                </w:rPr>
                <w:t xml:space="preserve">John Muschelli</w:t>
              </w:r>
            </w:hyperlink>
            <w:r>
              <w:t xml:space="preserve">,</w:t>
            </w:r>
            <w:r>
              <w:t xml:space="preserve"> </w:t>
            </w:r>
            <w:hyperlink r:id="rId111">
              <w:r>
                <w:rPr>
                  <w:rStyle w:val="Hyperlink"/>
                </w:rPr>
                <w:t xml:space="preserve">Candace Savonen</w:t>
              </w:r>
            </w:hyperlink>
            <w:r>
              <w:t xml:space="preserve">,</w:t>
            </w:r>
            <w:r>
              <w:t xml:space="preserve"> </w:t>
            </w:r>
            <w:hyperlink r:id="rId109">
              <w:r>
                <w:rPr>
                  <w:rStyle w:val="Hyperlink"/>
                </w:rPr>
                <w:t xml:space="preserve">Carrie Wright</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113">
              <w:r>
                <w:rPr>
                  <w:rStyle w:val="Hyperlink"/>
                </w:rPr>
                <w:t xml:space="preserve">National Human Genome Research Institute (NHGRI)</w:t>
              </w:r>
            </w:hyperlink>
          </w:p>
        </w:tc>
      </w:tr>
      <w:tr>
        <w:tc>
          <w:tcPr/>
          <w:p>
            <w:pPr>
              <w:pStyle w:val="Compact"/>
              <w:jc w:val="left"/>
            </w:pPr>
            <w:r>
              <w:t xml:space="preserve">Funding Staff</w:t>
            </w:r>
          </w:p>
        </w:tc>
        <w:tc>
          <w:tcPr/>
          <w:p>
            <w:pPr>
              <w:pStyle w:val="Compact"/>
              <w:jc w:val="left"/>
            </w:pPr>
            <w:r>
              <w:t xml:space="preserve">Fallon Bachman, Jennifer Vessio, Emily Voeglein</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2022-03-18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14"/>
    <w:sectPr w:rsidR="008C7AFE" w:rsidRPr="00EA30D4" w:rsidSect="00D64C92">
      <w:headerReference r:id="rId10" w:type="default"/>
      <w:headerReference r:id="rId9" w:type="first"/>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6C8E9" w14:textId="7CBBC261"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1" w:history="1">
      <w:r w:rsidRPr="00863460">
        <w:rPr>
          <w:rStyle w:val="Hyperlink"/>
          <w:rFonts w:ascii="Cambria" w:hAnsi="Cambria" w:cs="Arial"/>
          <w:color w:val="7890CD"/>
          <w:sz w:val="22"/>
          <w:szCs w:val="22"/>
        </w:rPr>
        <w:t>CC-BY 4.0</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170A" w14:textId="76129CAA" w:rsidR="00D64C92" w:rsidRDefault="00863460" w:rsidP="00863460">
    <w:pPr>
      <w:pStyle w:val="Header"/>
      <w:jc w:val="right"/>
    </w:pPr>
    <w:r>
      <w:rPr>
        <w:noProof/>
      </w:rPr>
      <w:drawing>
        <wp:inline distT="0" distB="0" distL="0" distR="0" wp14:anchorId="72C808C1" wp14:editId="32760E62">
          <wp:extent cx="2856368" cy="5749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extLst>
                      <a:ext uri="{28A0092B-C50C-407E-A947-70E740481C1C}">
                        <a14:useLocalDpi xmlns:a14="http://schemas.microsoft.com/office/drawing/2010/main" val="0"/>
                      </a:ext>
                    </a:extLst>
                  </a:blip>
                  <a:stretch>
                    <a:fillRect/>
                  </a:stretch>
                </pic:blipFill>
                <pic:spPr>
                  <a:xfrm>
                    <a:off x="0" y="0"/>
                    <a:ext cx="2917151" cy="587171"/>
                  </a:xfrm>
                  <a:prstGeom prst="rect">
                    <a:avLst/>
                  </a:prstGeom>
                </pic:spPr>
              </pic:pic>
            </a:graphicData>
          </a:graphic>
        </wp:inline>
      </w:drawing>
    </w:r>
  </w:p>
  <w:p w14:paraId="43112882" w14:textId="6EEF9C80"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2" w:history="1">
      <w:r w:rsidRPr="00863460">
        <w:rPr>
          <w:rStyle w:val="Hyperlink"/>
          <w:rFonts w:ascii="Cambria" w:hAnsi="Cambria" w:cs="Arial"/>
          <w:color w:val="7890CD"/>
          <w:sz w:val="22"/>
          <w:szCs w:val="22"/>
        </w:rPr>
        <w:t>CC-BY 4.0</w:t>
      </w:r>
    </w:hyperlink>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B3CBBDEE"/>
    <w:multiLevelType w:val="multilevel"/>
    <w:tmpl w:val="07048372"/>
    <w:lvl w:ilvl="0">
      <w:start w:val="7"/>
      <w:numFmt w:val="decimal"/>
      <w:lvlText w:val="%1."/>
      <w:lvlJc w:val="left"/>
      <w:pPr>
        <w:ind w:hanging="480" w:left="720"/>
      </w:pPr>
    </w:lvl>
    <w:lvl w:ilvl="1">
      <w:start w:val="7"/>
      <w:numFmt w:val="decimal"/>
      <w:lvlText w:val="%2."/>
      <w:lvlJc w:val="left"/>
      <w:pPr>
        <w:ind w:hanging="480" w:left="1440"/>
      </w:pPr>
    </w:lvl>
    <w:lvl w:ilvl="2">
      <w:start w:val="7"/>
      <w:numFmt w:val="decimal"/>
      <w:lvlText w:val="%3."/>
      <w:lvlJc w:val="left"/>
      <w:pPr>
        <w:ind w:hanging="480" w:left="2160"/>
      </w:pPr>
    </w:lvl>
    <w:lvl w:ilvl="3">
      <w:start w:val="7"/>
      <w:numFmt w:val="decimal"/>
      <w:lvlText w:val="%4."/>
      <w:lvlJc w:val="left"/>
      <w:pPr>
        <w:ind w:hanging="480" w:left="2880"/>
      </w:pPr>
    </w:lvl>
    <w:lvl w:ilvl="4">
      <w:start w:val="7"/>
      <w:numFmt w:val="decimal"/>
      <w:lvlText w:val="%5."/>
      <w:lvlJc w:val="left"/>
      <w:pPr>
        <w:ind w:hanging="480" w:left="3600"/>
      </w:pPr>
    </w:lvl>
    <w:lvl w:ilvl="5">
      <w:start w:val="7"/>
      <w:numFmt w:val="decimal"/>
      <w:lvlText w:val="%6."/>
      <w:lvlJc w:val="left"/>
      <w:pPr>
        <w:ind w:hanging="480" w:left="4320"/>
      </w:pPr>
    </w:lvl>
    <w:lvl w:ilvl="6">
      <w:start w:val="7"/>
      <w:numFmt w:val="decimal"/>
      <w:lvlText w:val="%7."/>
      <w:lvlJc w:val="left"/>
      <w:pPr>
        <w:ind w:hanging="480" w:left="5040"/>
      </w:pPr>
    </w:lvl>
    <w:lvl w:ilvl="7">
      <w:start w:val="7"/>
      <w:numFmt w:val="decimal"/>
      <w:lvlText w:val="%8."/>
      <w:lvlJc w:val="left"/>
      <w:pPr>
        <w:ind w:hanging="480" w:left="5760"/>
      </w:pPr>
    </w:lvl>
    <w:lvl w:ilvl="8">
      <w:start w:val="7"/>
      <w:numFmt w:val="decimal"/>
      <w:lvlText w:val="%9."/>
      <w:lvlJc w:val="left"/>
      <w:pPr>
        <w:ind w:hanging="480" w:left="6480"/>
      </w:pPr>
    </w:lvl>
  </w:abstractNum>
  <w:abstractNum w15:restartNumberingAfterBreak="0" w:abstractNumId="1">
    <w:nsid w:val="EA454B4C"/>
    <w:multiLevelType w:val="multilevel"/>
    <w:tmpl w:val="FA2E539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FFFFFF7C"/>
    <w:multiLevelType w:val="singleLevel"/>
    <w:tmpl w:val="EA266ECE"/>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17EDAC2"/>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FE4C7218"/>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9BB6248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59AEECE0"/>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7">
    <w:nsid w:val="FFFFFF81"/>
    <w:multiLevelType w:val="singleLevel"/>
    <w:tmpl w:val="DBEA40B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91E0DCC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00C2737A"/>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07F244AE"/>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92F091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2C1AE401"/>
    <w:multiLevelType w:val="multilevel"/>
    <w:tmpl w:val="38A8DC7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47261BAD"/>
    <w:multiLevelType w:val="multilevel"/>
    <w:tmpl w:val="B7306018"/>
    <w:lvl w:ilvl="0">
      <w:start w:val="4"/>
      <w:numFmt w:val="decimal"/>
      <w:lvlText w:val="%1."/>
      <w:lvlJc w:val="left"/>
      <w:pPr>
        <w:ind w:hanging="480" w:left="720"/>
      </w:pPr>
    </w:lvl>
    <w:lvl w:ilvl="1">
      <w:start w:val="4"/>
      <w:numFmt w:val="decimal"/>
      <w:lvlText w:val="%2."/>
      <w:lvlJc w:val="left"/>
      <w:pPr>
        <w:ind w:hanging="480" w:left="1440"/>
      </w:pPr>
    </w:lvl>
    <w:lvl w:ilvl="2">
      <w:start w:val="4"/>
      <w:numFmt w:val="decimal"/>
      <w:lvlText w:val="%3."/>
      <w:lvlJc w:val="left"/>
      <w:pPr>
        <w:ind w:hanging="480" w:left="2160"/>
      </w:pPr>
    </w:lvl>
    <w:lvl w:ilvl="3">
      <w:start w:val="4"/>
      <w:numFmt w:val="decimal"/>
      <w:lvlText w:val="%4."/>
      <w:lvlJc w:val="left"/>
      <w:pPr>
        <w:ind w:hanging="480" w:left="2880"/>
      </w:pPr>
    </w:lvl>
    <w:lvl w:ilvl="4">
      <w:start w:val="4"/>
      <w:numFmt w:val="decimal"/>
      <w:lvlText w:val="%5."/>
      <w:lvlJc w:val="left"/>
      <w:pPr>
        <w:ind w:hanging="480" w:left="3600"/>
      </w:pPr>
    </w:lvl>
    <w:lvl w:ilvl="5">
      <w:start w:val="4"/>
      <w:numFmt w:val="decimal"/>
      <w:lvlText w:val="%6."/>
      <w:lvlJc w:val="left"/>
      <w:pPr>
        <w:ind w:hanging="480" w:left="4320"/>
      </w:pPr>
    </w:lvl>
    <w:lvl w:ilvl="6">
      <w:start w:val="4"/>
      <w:numFmt w:val="decimal"/>
      <w:lvlText w:val="%7."/>
      <w:lvlJc w:val="left"/>
      <w:pPr>
        <w:ind w:hanging="480" w:left="5040"/>
      </w:pPr>
    </w:lvl>
    <w:lvl w:ilvl="7">
      <w:start w:val="4"/>
      <w:numFmt w:val="decimal"/>
      <w:lvlText w:val="%8."/>
      <w:lvlJc w:val="left"/>
      <w:pPr>
        <w:ind w:hanging="480" w:left="5760"/>
      </w:pPr>
    </w:lvl>
    <w:lvl w:ilvl="8">
      <w:start w:val="4"/>
      <w:numFmt w:val="decimal"/>
      <w:lvlText w:val="%9."/>
      <w:lvlJc w:val="left"/>
      <w:pPr>
        <w:ind w:hanging="480" w:left="6480"/>
      </w:pPr>
    </w:lvl>
  </w:abstractNum>
  <w:abstractNum w15:restartNumberingAfterBreak="0" w:abstractNumId="14">
    <w:nsid w:val="4FBE019A"/>
    <w:multiLevelType w:val="multilevel"/>
    <w:tmpl w:val="505C2EC6"/>
    <w:lvl w:ilvl="0">
      <w:start w:val="9"/>
      <w:numFmt w:val="decimal"/>
      <w:lvlText w:val="%1."/>
      <w:lvlJc w:val="left"/>
      <w:pPr>
        <w:ind w:hanging="480" w:left="720"/>
      </w:pPr>
    </w:lvl>
    <w:lvl w:ilvl="1">
      <w:start w:val="9"/>
      <w:numFmt w:val="decimal"/>
      <w:lvlText w:val="%2."/>
      <w:lvlJc w:val="left"/>
      <w:pPr>
        <w:ind w:hanging="480" w:left="1440"/>
      </w:pPr>
    </w:lvl>
    <w:lvl w:ilvl="2">
      <w:start w:val="9"/>
      <w:numFmt w:val="decimal"/>
      <w:lvlText w:val="%3."/>
      <w:lvlJc w:val="left"/>
      <w:pPr>
        <w:ind w:hanging="480" w:left="2160"/>
      </w:pPr>
    </w:lvl>
    <w:lvl w:ilvl="3">
      <w:start w:val="9"/>
      <w:numFmt w:val="decimal"/>
      <w:lvlText w:val="%4."/>
      <w:lvlJc w:val="left"/>
      <w:pPr>
        <w:ind w:hanging="480" w:left="2880"/>
      </w:pPr>
    </w:lvl>
    <w:lvl w:ilvl="4">
      <w:start w:val="9"/>
      <w:numFmt w:val="decimal"/>
      <w:lvlText w:val="%5."/>
      <w:lvlJc w:val="left"/>
      <w:pPr>
        <w:ind w:hanging="480" w:left="3600"/>
      </w:pPr>
    </w:lvl>
    <w:lvl w:ilvl="5">
      <w:start w:val="9"/>
      <w:numFmt w:val="decimal"/>
      <w:lvlText w:val="%6."/>
      <w:lvlJc w:val="left"/>
      <w:pPr>
        <w:ind w:hanging="480" w:left="4320"/>
      </w:pPr>
    </w:lvl>
    <w:lvl w:ilvl="6">
      <w:start w:val="9"/>
      <w:numFmt w:val="decimal"/>
      <w:lvlText w:val="%7."/>
      <w:lvlJc w:val="left"/>
      <w:pPr>
        <w:ind w:hanging="480" w:left="5040"/>
      </w:pPr>
    </w:lvl>
    <w:lvl w:ilvl="7">
      <w:start w:val="9"/>
      <w:numFmt w:val="decimal"/>
      <w:lvlText w:val="%8."/>
      <w:lvlJc w:val="left"/>
      <w:pPr>
        <w:ind w:hanging="480" w:left="5760"/>
      </w:pPr>
    </w:lvl>
    <w:lvl w:ilvl="8">
      <w:start w:val="9"/>
      <w:numFmt w:val="decimal"/>
      <w:lvlText w:val="%9."/>
      <w:lvlJc w:val="left"/>
      <w:pPr>
        <w:ind w:hanging="480" w:left="6480"/>
      </w:pPr>
    </w:lvl>
  </w:abstractNum>
  <w:abstractNum w15:restartNumberingAfterBreak="0" w:abstractNumId="15">
    <w:nsid w:val="71315DCA"/>
    <w:multiLevelType w:val="multilevel"/>
    <w:tmpl w:val="28302F5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
    <w:abstractNumId w:val="0"/>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
    <w:abstractNumId w:val="1"/>
  </w:num>
  <w:num w:numId="20">
    <w:abstractNumId w:val="14"/>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1">
    <w:abstractNumId w:val="2"/>
  </w:num>
  <w:num w:numId="22">
    <w:abstractNumId w:val="3"/>
  </w:num>
  <w:num w:numId="23">
    <w:abstractNumId w:val="4"/>
  </w:num>
  <w:num w:numId="24">
    <w:abstractNumId w:val="5"/>
  </w:num>
  <w:num w:numId="25">
    <w:abstractNumId w:val="10"/>
  </w:num>
  <w:num w:numId="26">
    <w:abstractNumId w:val="6"/>
  </w:num>
  <w:num w:numId="27">
    <w:abstractNumId w:val="7"/>
  </w:num>
  <w:num w:numId="28">
    <w:abstractNumId w:val="8"/>
  </w:num>
  <w:num w:numId="29">
    <w:abstractNumId w:val="9"/>
  </w:num>
  <w:num w:numId="30">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8">
    <w:abstractNumId w:val="991"/>
  </w:num>
  <w:num w:numId="101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39"/>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D64C92"/>
    <w:pPr>
      <w:keepNext/>
      <w:keepLines/>
      <w:spacing w:after="240" w:before="480"/>
      <w:jc w:val="center"/>
    </w:pPr>
    <w:rPr>
      <w:rFonts w:asciiTheme="majorHAnsi" w:cstheme="majorBidi" w:eastAsiaTheme="majorEastAsia" w:hAnsiTheme="majorHAnsi"/>
      <w:b/>
      <w:bCs/>
      <w:color w:themeColor="text2" w:val="1F497D"/>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39403F"/>
  </w:style>
  <w:style w:styleId="Header" w:type="paragraph">
    <w:name w:val="header"/>
    <w:basedOn w:val="Normal"/>
    <w:link w:val="HeaderChar"/>
    <w:uiPriority w:val="99"/>
    <w:unhideWhenUsed/>
    <w:rsid w:val="00D64C92"/>
    <w:pPr>
      <w:tabs>
        <w:tab w:pos="4680" w:val="center"/>
        <w:tab w:pos="9360" w:val="right"/>
      </w:tabs>
      <w:spacing w:after="0"/>
    </w:pPr>
  </w:style>
  <w:style w:customStyle="1" w:styleId="HeaderChar" w:type="character">
    <w:name w:val="Header Char"/>
    <w:basedOn w:val="DefaultParagraphFont"/>
    <w:link w:val="Header"/>
    <w:uiPriority w:val="99"/>
    <w:rsid w:val="00D64C92"/>
  </w:style>
  <w:style w:styleId="Footer" w:type="paragraph">
    <w:name w:val="footer"/>
    <w:basedOn w:val="Normal"/>
    <w:link w:val="FooterChar"/>
    <w:unhideWhenUsed/>
    <w:rsid w:val="00D64C92"/>
    <w:pPr>
      <w:tabs>
        <w:tab w:pos="4680" w:val="center"/>
        <w:tab w:pos="9360" w:val="right"/>
      </w:tabs>
      <w:spacing w:after="0"/>
    </w:pPr>
  </w:style>
  <w:style w:customStyle="1" w:styleId="FooterChar" w:type="character">
    <w:name w:val="Footer Char"/>
    <w:basedOn w:val="DefaultParagraphFont"/>
    <w:link w:val="Footer"/>
    <w:rsid w:val="00D64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85665">
      <w:bodyDiv w:val="1"/>
      <w:marLeft w:val="0"/>
      <w:marRight w:val="0"/>
      <w:marTop w:val="0"/>
      <w:marBottom w:val="0"/>
      <w:divBdr>
        <w:top w:val="none" w:sz="0" w:space="0" w:color="auto"/>
        <w:left w:val="none" w:sz="0" w:space="0" w:color="auto"/>
        <w:bottom w:val="none" w:sz="0" w:space="0" w:color="auto"/>
        <w:right w:val="none" w:sz="0" w:space="0" w:color="auto"/>
      </w:divBdr>
    </w:div>
    <w:div w:id="995456515">
      <w:bodyDiv w:val="1"/>
      <w:marLeft w:val="0"/>
      <w:marRight w:val="0"/>
      <w:marTop w:val="0"/>
      <w:marBottom w:val="0"/>
      <w:divBdr>
        <w:top w:val="none" w:sz="0" w:space="0" w:color="auto"/>
        <w:left w:val="none" w:sz="0" w:space="0" w:color="auto"/>
        <w:bottom w:val="none" w:sz="0" w:space="0" w:color="auto"/>
        <w:right w:val="none" w:sz="0" w:space="0" w:color="auto"/>
      </w:divBdr>
    </w:div>
    <w:div w:id="17100312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image" Id="rId83" Target="media/rId83.png" /><Relationship Type="http://schemas.openxmlformats.org/officeDocument/2006/relationships/image" Id="rId64" Target="media/rId64.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63" Target="media/rId63.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60" Target="media/rId60.png" /><Relationship Type="http://schemas.openxmlformats.org/officeDocument/2006/relationships/image" Id="rId58" Target="media/rId58.png" /><Relationship Type="http://schemas.openxmlformats.org/officeDocument/2006/relationships/image" Id="rId42" Target="media/rId42.png" /><Relationship Type="http://schemas.openxmlformats.org/officeDocument/2006/relationships/hyperlink" Id="rId68" Target="http://drive5.com/usearch/manual/quality_score.html" TargetMode="External" /><Relationship Type="http://schemas.openxmlformats.org/officeDocument/2006/relationships/hyperlink" Id="rId106" Target="http://schatz-lab.org/" TargetMode="External" /><Relationship Type="http://schemas.openxmlformats.org/officeDocument/2006/relationships/hyperlink" Id="rId41" Target="https://anvil.terra.bio/#workspaces/gdscn-exercises/SARS-CoV-2-Genome" TargetMode="External" /><Relationship Type="http://schemas.openxmlformats.org/officeDocument/2006/relationships/hyperlink" Id="rId21" Target="https://anvilproject.org/" TargetMode="External" /><Relationship Type="http://schemas.openxmlformats.org/officeDocument/2006/relationships/hyperlink" Id="rId107" Target="https://carnegiescience.edu/frederick-tan" TargetMode="External" /><Relationship Type="http://schemas.openxmlformats.org/officeDocument/2006/relationships/hyperlink" Id="rId109" Target="https://carriewright11.github.io/" TargetMode="External" /><Relationship Type="http://schemas.openxmlformats.org/officeDocument/2006/relationships/hyperlink" Id="rId101" Target="https://docs.google.com/forms/d/e/1FAIpQLSdXq2H_z9Vl7yfyy5ce7Kd2ZKWfpvyQTFa3pKsnI8FeDD8-Cg/viewform?usp=sf_link" TargetMode="External" /><Relationship Type="http://schemas.openxmlformats.org/officeDocument/2006/relationships/hyperlink" Id="rId27" Target="https://docs.google.com/presentation/d/1097pZ-m7u22TBs6vqgbqPT1TH4FwdCY4P89WLTp2wT4/edit?usp=sharing" TargetMode="External" /><Relationship Type="http://schemas.openxmlformats.org/officeDocument/2006/relationships/hyperlink" Id="rId35" Target="https://docs.google.com/presentation/d/182AOzMaiyrreinnsRX2VhH7YsVgvAp4xtIB_7Mzmk6I/edit?usp=sharing" TargetMode="External" /><Relationship Type="http://schemas.openxmlformats.org/officeDocument/2006/relationships/hyperlink" Id="rId31" Target="https://docs.google.com/presentation/d/1SxbYQyzJ19AmTj2ULhkxv9VZTEZjG2xePaVLTN7z52Q/edit?usp=sharing" TargetMode="External" /><Relationship Type="http://schemas.openxmlformats.org/officeDocument/2006/relationships/hyperlink" Id="rId29" Target="https://docs.google.com/presentation/d/1oWzck0r3djLUkS8t29v0D32-fnZDa7Qcb6GrO_VfFmk/edit?usp=sharing" TargetMode="External" /><Relationship Type="http://schemas.openxmlformats.org/officeDocument/2006/relationships/hyperlink" Id="rId33" Target="https://docs.google.com/presentation/d/1xj5cfJAA1vSX7GDXbGmNJlooA0lybdW4H3Ux28yhIlg/edit?usp=sharing" TargetMode="External" /><Relationship Type="http://schemas.openxmlformats.org/officeDocument/2006/relationships/hyperlink" Id="rId23" Target="https://genetics-gsa.org/education/genetics-learning-framework/" TargetMode="External" /><Relationship Type="http://schemas.openxmlformats.org/officeDocument/2006/relationships/hyperlink" Id="rId103" Target="https://github.com/jhudsl/DaSL_Course_Template_Bookdown/wiki/How-to-give-credits" TargetMode="External" /><Relationship Type="http://schemas.openxmlformats.org/officeDocument/2006/relationships/hyperlink" Id="rId94" Target="https://github.com/jhudsl/GDSCN_Book_SARS_Galaxy_on_AnVIL/issues/new" TargetMode="External" /><Relationship Type="http://schemas.openxmlformats.org/officeDocument/2006/relationships/hyperlink" Id="rId99" Target="https://github.com/jhudsl/GDSCN_Book_SARS_Galaxy_on_AnVIL/raw/main/docs/GDSCN-Book-SARS-with-Galaxy-on-AnVIL.docx" TargetMode="External" /><Relationship Type="http://schemas.openxmlformats.org/officeDocument/2006/relationships/hyperlink" Id="rId93" Target="https://help.anvilproject.org/" TargetMode="External" /><Relationship Type="http://schemas.openxmlformats.org/officeDocument/2006/relationships/hyperlink" Id="rId48" Target="https://jhudatascience.org/AnVIL_Book_Getting_Started/starting-galaxy.html" TargetMode="External" /><Relationship Type="http://schemas.openxmlformats.org/officeDocument/2006/relationships/hyperlink" Id="rId37" Target="https://jhudatascience.org/AnVIL_Book_Instructor_Guide/student-account-setup.html" TargetMode="External" /><Relationship Type="http://schemas.openxmlformats.org/officeDocument/2006/relationships/hyperlink" Id="rId112" Target="https://johnmuschelli.com/" TargetMode="External" /><Relationship Type="http://schemas.openxmlformats.org/officeDocument/2006/relationships/hyperlink" Id="rId105" Target="https://jtleek.com/" TargetMode="External" /><Relationship Type="http://schemas.openxmlformats.org/officeDocument/2006/relationships/hyperlink" Id="rId110" Target="https://publichealth.jhu.edu/faculty/4130/ira-gooding" TargetMode="External" /><Relationship Type="http://schemas.openxmlformats.org/officeDocument/2006/relationships/hyperlink" Id="rId108" Target="https://publichealth.jhu.edu/faculty/4170/katherine-cox" TargetMode="External" /><Relationship Type="http://schemas.openxmlformats.org/officeDocument/2006/relationships/hyperlink" Id="rId97" Target="https://training.galaxyproject.org" TargetMode="External" /><Relationship Type="http://schemas.openxmlformats.org/officeDocument/2006/relationships/hyperlink" Id="rId96" Target="https://usegalaxy.org/" TargetMode="External" /><Relationship Type="http://schemas.openxmlformats.org/officeDocument/2006/relationships/hyperlink" Id="rId104" Target="https://www.avahoffman.com/" TargetMode="External" /><Relationship Type="http://schemas.openxmlformats.org/officeDocument/2006/relationships/hyperlink" Id="rId111" Target="https://www.cansavvy.com/" TargetMode="External" /><Relationship Type="http://schemas.openxmlformats.org/officeDocument/2006/relationships/hyperlink" Id="rId113" Target="https://www.genome.gov/" TargetMode="External" /></Relationships>
</file>

<file path=word/_rels/footnotes.xml.rels><?xml version="1.0" encoding="UTF-8"?><Relationships xmlns="http://schemas.openxmlformats.org/package/2006/relationships"><Relationship Type="http://schemas.openxmlformats.org/officeDocument/2006/relationships/hyperlink" Id="rId68" Target="http://drive5.com/usearch/manual/quality_score.html" TargetMode="External" /><Relationship Type="http://schemas.openxmlformats.org/officeDocument/2006/relationships/hyperlink" Id="rId106" Target="http://schatz-lab.org/" TargetMode="External" /><Relationship Type="http://schemas.openxmlformats.org/officeDocument/2006/relationships/hyperlink" Id="rId41" Target="https://anvil.terra.bio/#workspaces/gdscn-exercises/SARS-CoV-2-Genome" TargetMode="External" /><Relationship Type="http://schemas.openxmlformats.org/officeDocument/2006/relationships/hyperlink" Id="rId21" Target="https://anvilproject.org/" TargetMode="External" /><Relationship Type="http://schemas.openxmlformats.org/officeDocument/2006/relationships/hyperlink" Id="rId107" Target="https://carnegiescience.edu/frederick-tan" TargetMode="External" /><Relationship Type="http://schemas.openxmlformats.org/officeDocument/2006/relationships/hyperlink" Id="rId109" Target="https://carriewright11.github.io/" TargetMode="External" /><Relationship Type="http://schemas.openxmlformats.org/officeDocument/2006/relationships/hyperlink" Id="rId101" Target="https://docs.google.com/forms/d/e/1FAIpQLSdXq2H_z9Vl7yfyy5ce7Kd2ZKWfpvyQTFa3pKsnI8FeDD8-Cg/viewform?usp=sf_link" TargetMode="External" /><Relationship Type="http://schemas.openxmlformats.org/officeDocument/2006/relationships/hyperlink" Id="rId27" Target="https://docs.google.com/presentation/d/1097pZ-m7u22TBs6vqgbqPT1TH4FwdCY4P89WLTp2wT4/edit?usp=sharing" TargetMode="External" /><Relationship Type="http://schemas.openxmlformats.org/officeDocument/2006/relationships/hyperlink" Id="rId35" Target="https://docs.google.com/presentation/d/182AOzMaiyrreinnsRX2VhH7YsVgvAp4xtIB_7Mzmk6I/edit?usp=sharing" TargetMode="External" /><Relationship Type="http://schemas.openxmlformats.org/officeDocument/2006/relationships/hyperlink" Id="rId31" Target="https://docs.google.com/presentation/d/1SxbYQyzJ19AmTj2ULhkxv9VZTEZjG2xePaVLTN7z52Q/edit?usp=sharing" TargetMode="External" /><Relationship Type="http://schemas.openxmlformats.org/officeDocument/2006/relationships/hyperlink" Id="rId29" Target="https://docs.google.com/presentation/d/1oWzck0r3djLUkS8t29v0D32-fnZDa7Qcb6GrO_VfFmk/edit?usp=sharing" TargetMode="External" /><Relationship Type="http://schemas.openxmlformats.org/officeDocument/2006/relationships/hyperlink" Id="rId33" Target="https://docs.google.com/presentation/d/1xj5cfJAA1vSX7GDXbGmNJlooA0lybdW4H3Ux28yhIlg/edit?usp=sharing" TargetMode="External" /><Relationship Type="http://schemas.openxmlformats.org/officeDocument/2006/relationships/hyperlink" Id="rId23" Target="https://genetics-gsa.org/education/genetics-learning-framework/" TargetMode="External" /><Relationship Type="http://schemas.openxmlformats.org/officeDocument/2006/relationships/hyperlink" Id="rId103" Target="https://github.com/jhudsl/DaSL_Course_Template_Bookdown/wiki/How-to-give-credits" TargetMode="External" /><Relationship Type="http://schemas.openxmlformats.org/officeDocument/2006/relationships/hyperlink" Id="rId94" Target="https://github.com/jhudsl/GDSCN_Book_SARS_Galaxy_on_AnVIL/issues/new" TargetMode="External" /><Relationship Type="http://schemas.openxmlformats.org/officeDocument/2006/relationships/hyperlink" Id="rId99" Target="https://github.com/jhudsl/GDSCN_Book_SARS_Galaxy_on_AnVIL/raw/main/docs/GDSCN-Book-SARS-with-Galaxy-on-AnVIL.docx" TargetMode="External" /><Relationship Type="http://schemas.openxmlformats.org/officeDocument/2006/relationships/hyperlink" Id="rId93" Target="https://help.anvilproject.org/" TargetMode="External" /><Relationship Type="http://schemas.openxmlformats.org/officeDocument/2006/relationships/hyperlink" Id="rId48" Target="https://jhudatascience.org/AnVIL_Book_Getting_Started/starting-galaxy.html" TargetMode="External" /><Relationship Type="http://schemas.openxmlformats.org/officeDocument/2006/relationships/hyperlink" Id="rId37" Target="https://jhudatascience.org/AnVIL_Book_Instructor_Guide/student-account-setup.html" TargetMode="External" /><Relationship Type="http://schemas.openxmlformats.org/officeDocument/2006/relationships/hyperlink" Id="rId112" Target="https://johnmuschelli.com/" TargetMode="External" /><Relationship Type="http://schemas.openxmlformats.org/officeDocument/2006/relationships/hyperlink" Id="rId105" Target="https://jtleek.com/" TargetMode="External" /><Relationship Type="http://schemas.openxmlformats.org/officeDocument/2006/relationships/hyperlink" Id="rId110" Target="https://publichealth.jhu.edu/faculty/4130/ira-gooding" TargetMode="External" /><Relationship Type="http://schemas.openxmlformats.org/officeDocument/2006/relationships/hyperlink" Id="rId108" Target="https://publichealth.jhu.edu/faculty/4170/katherine-cox" TargetMode="External" /><Relationship Type="http://schemas.openxmlformats.org/officeDocument/2006/relationships/hyperlink" Id="rId97" Target="https://training.galaxyproject.org" TargetMode="External" /><Relationship Type="http://schemas.openxmlformats.org/officeDocument/2006/relationships/hyperlink" Id="rId96" Target="https://usegalaxy.org/" TargetMode="External" /><Relationship Type="http://schemas.openxmlformats.org/officeDocument/2006/relationships/hyperlink" Id="rId104" Target="https://www.avahoffman.com/" TargetMode="External" /><Relationship Type="http://schemas.openxmlformats.org/officeDocument/2006/relationships/hyperlink" Id="rId111" Target="https://www.cansavvy.com/" TargetMode="External" /><Relationship Type="http://schemas.openxmlformats.org/officeDocument/2006/relationships/hyperlink" Id="rId113" Target="https://www.genome.gov/" TargetMode="External" /></Relationships>
</file>

<file path=word/_rels/header1.xml.rels><?xml version="1.0" encoding="UTF-8" standalone="yes"?>
<Relationships xmlns="http://schemas.openxmlformats.org/package/2006/relationships"><Relationship Id="rId1" Type="http://schemas.openxmlformats.org/officeDocument/2006/relationships/hyperlink" Target="https://creativecommons.org/licenses/by/4.0/"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creativecommons.org/licenses/by/4.0/"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GDSCN Book: SARS with Galaxy on AnVIL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GDSCN Book: SARS with Galaxy on AnVIL</dc:title>
  <dc:creator/>
  <dc:description>This book provides resources for instructors to engage students in a cloud-based Galaxy activity on AnVIL, focused on SARS-CoV-2 variant detection.</dc:description>
  <cp:keywords/>
  <dcterms:created xsi:type="dcterms:W3CDTF">2022-03-18T18:33:07Z</dcterms:created>
  <dcterms:modified xsi:type="dcterms:W3CDTF">2022-03-18T18:33:07Z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March 18, 2022</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