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3">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document defines the policies and procedures for controlling and sustaining the required infrastructure and work environment necessary to meet the needs of the organization.  </w:t>
      </w:r>
    </w:p>
    <w:p w:rsidR="00000000" w:rsidDel="00000000" w:rsidP="00000000" w:rsidRDefault="00000000" w:rsidRPr="00000000" w14:paraId="0000000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Scope</w:t>
      </w:r>
    </w:p>
    <w:p w:rsidR="00000000" w:rsidDel="00000000" w:rsidP="00000000" w:rsidRDefault="00000000" w:rsidRPr="00000000" w14:paraId="00000006">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7">
      <w:pPr>
        <w:ind w:left="36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This procedure applies to the infrastructure and work environment requirements that do or can potentially impact the quality of products and/or services provided.</w:t>
      </w:r>
    </w:p>
    <w:p w:rsidR="00000000" w:rsidDel="00000000" w:rsidP="00000000" w:rsidRDefault="00000000" w:rsidRPr="00000000" w14:paraId="0000000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Definitions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Operations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Operation is responsible for the implementation and sustaining of the requirement specified in this procedure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Quality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Quality is responsible for ensuring compliance with the procedures specified in this document.</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 and Materials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Safety Precautions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N/A</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Training Requirement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Operations and Quality management shall be trained on this procedure and the training documented.</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7" w:right="0" w:hanging="547"/>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Record Management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Operations manages and maintains infrastructure and work environment records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40" w:lineRule="auto"/>
        <w:ind w:left="900" w:right="0" w:hanging="54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Documents and Materials</w:t>
      </w:r>
      <w:r w:rsidDel="00000000" w:rsidR="00000000" w:rsidRPr="00000000">
        <w:rPr>
          <w:rtl w:val="0"/>
        </w:rPr>
      </w:r>
    </w:p>
    <w:p w:rsidR="00000000" w:rsidDel="00000000" w:rsidP="00000000" w:rsidRDefault="00000000" w:rsidRPr="00000000" w14:paraId="00000013">
      <w:pPr>
        <w:spacing w:before="120" w:lineRule="auto"/>
        <w:ind w:left="93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21 CFR 820 FDA</w:t>
      </w:r>
      <w:r w:rsidDel="00000000" w:rsidR="00000000" w:rsidRPr="00000000">
        <w:rPr>
          <w:rFonts w:ascii="Arial" w:cs="Arial" w:eastAsia="Arial" w:hAnsi="Arial"/>
          <w:sz w:val="22"/>
          <w:szCs w:val="22"/>
          <w:rtl w:val="0"/>
        </w:rPr>
        <w:t xml:space="preserve"> Quality System Regulations</w:t>
      </w:r>
    </w:p>
    <w:p w:rsidR="00000000" w:rsidDel="00000000" w:rsidP="00000000" w:rsidRDefault="00000000" w:rsidRPr="00000000" w14:paraId="00000014">
      <w:pPr>
        <w:spacing w:before="60" w:lineRule="auto"/>
        <w:ind w:left="93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SOR/98-282</w:t>
      </w:r>
      <w:r w:rsidDel="00000000" w:rsidR="00000000" w:rsidRPr="00000000">
        <w:rPr>
          <w:rFonts w:ascii="Arial" w:cs="Arial" w:eastAsia="Arial" w:hAnsi="Arial"/>
          <w:sz w:val="22"/>
          <w:szCs w:val="22"/>
          <w:rtl w:val="0"/>
        </w:rPr>
        <w:t xml:space="preserve"> – Canadian Medical Device Regulations</w:t>
      </w:r>
    </w:p>
    <w:p w:rsidR="00000000" w:rsidDel="00000000" w:rsidP="00000000" w:rsidRDefault="00000000" w:rsidRPr="00000000" w14:paraId="00000015">
      <w:pPr>
        <w:spacing w:before="60" w:lineRule="auto"/>
        <w:ind w:left="187" w:firstLine="72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MDR 2017/745</w:t>
      </w:r>
      <w:r w:rsidDel="00000000" w:rsidR="00000000" w:rsidRPr="00000000">
        <w:rPr>
          <w:rFonts w:ascii="Arial" w:cs="Arial" w:eastAsia="Arial" w:hAnsi="Arial"/>
          <w:sz w:val="22"/>
          <w:szCs w:val="22"/>
          <w:rtl w:val="0"/>
        </w:rPr>
        <w:t xml:space="preserve"> – EU Medical Device Regulation</w:t>
      </w:r>
    </w:p>
    <w:p w:rsidR="00000000" w:rsidDel="00000000" w:rsidP="00000000" w:rsidRDefault="00000000" w:rsidRPr="00000000" w14:paraId="00000016">
      <w:pPr>
        <w:spacing w:before="60" w:lineRule="auto"/>
        <w:ind w:left="93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MDD 93/42/EEC</w:t>
      </w:r>
      <w:r w:rsidDel="00000000" w:rsidR="00000000" w:rsidRPr="00000000">
        <w:rPr>
          <w:rFonts w:ascii="Arial" w:cs="Arial" w:eastAsia="Arial" w:hAnsi="Arial"/>
          <w:sz w:val="22"/>
          <w:szCs w:val="22"/>
          <w:rtl w:val="0"/>
        </w:rPr>
        <w:t xml:space="preserve"> – EU Medical Device Directive</w:t>
      </w:r>
    </w:p>
    <w:p w:rsidR="00000000" w:rsidDel="00000000" w:rsidP="00000000" w:rsidRDefault="00000000" w:rsidRPr="00000000" w14:paraId="00000017">
      <w:pPr>
        <w:spacing w:before="60" w:lineRule="auto"/>
        <w:ind w:left="936" w:firstLine="0"/>
        <w:rPr>
          <w:rFonts w:ascii="Arial" w:cs="Arial" w:eastAsia="Arial" w:hAnsi="Arial"/>
          <w:sz w:val="22"/>
          <w:szCs w:val="22"/>
        </w:rPr>
      </w:pPr>
      <w:r w:rsidDel="00000000" w:rsidR="00000000" w:rsidRPr="00000000">
        <w:rPr>
          <w:rFonts w:ascii="Arial" w:cs="Arial" w:eastAsia="Arial" w:hAnsi="Arial"/>
          <w:b w:val="1"/>
          <w:sz w:val="22"/>
          <w:szCs w:val="22"/>
          <w:rtl w:val="0"/>
        </w:rPr>
        <w:t xml:space="preserve">ISO 13485</w:t>
      </w:r>
      <w:r w:rsidDel="00000000" w:rsidR="00000000" w:rsidRPr="00000000">
        <w:rPr>
          <w:rFonts w:ascii="Arial" w:cs="Arial" w:eastAsia="Arial" w:hAnsi="Arial"/>
          <w:sz w:val="22"/>
          <w:szCs w:val="22"/>
          <w:rtl w:val="0"/>
        </w:rPr>
        <w:t xml:space="preserve"> – Medical Device Quality Management Systems</w:t>
      </w:r>
    </w:p>
    <w:p w:rsidR="00000000" w:rsidDel="00000000" w:rsidP="00000000" w:rsidRDefault="00000000" w:rsidRPr="00000000" w14:paraId="00000018">
      <w:pP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19">
      <w:pPr>
        <w:spacing w:after="200" w:line="276" w:lineRule="auto"/>
        <w:rPr>
          <w:rFonts w:ascii="Arial" w:cs="Arial" w:eastAsia="Arial" w:hAnsi="Arial"/>
          <w:b w:val="1"/>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Infrastructure</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with supports from other departments, shall continuously evaluate infrastructure requirements and ensure adequate facilities, equipment, and services for the organization.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Facilities</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facilities shall provide the organization with sufficient capacity, storage, organization, and utilities necessary to complete the business’s objectives.  Facilities shall comply with all applicable building codes and status.</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548dd4"/>
          <w:sz w:val="22"/>
          <w:szCs w:val="22"/>
          <w:u w:val="none"/>
          <w:shd w:fill="auto" w:val="clear"/>
          <w:vertAlign w:val="baseline"/>
        </w:rPr>
      </w:pPr>
      <w:r w:rsidDel="00000000" w:rsidR="00000000" w:rsidRPr="00000000">
        <w:rPr>
          <w:rFonts w:ascii="Arial" w:cs="Arial" w:eastAsia="Arial" w:hAnsi="Arial"/>
          <w:b w:val="0"/>
          <w:i w:val="0"/>
          <w:smallCaps w:val="0"/>
          <w:strike w:val="0"/>
          <w:color w:val="548dd4"/>
          <w:sz w:val="22"/>
          <w:szCs w:val="22"/>
          <w:u w:val="none"/>
          <w:shd w:fill="auto" w:val="clear"/>
          <w:vertAlign w:val="baseline"/>
          <w:rtl w:val="0"/>
        </w:rPr>
        <w:t xml:space="preserve">[Will differ based upon the manufacturing requirements]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Equipment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shall provide the equipment necessary for employees to complete their duties.  All equipment utilized in the manufacturing of product shall be qualified for the application and validated, if applicable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900" w:right="0" w:hanging="54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Service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Services shall be contracted to ensure the company employees maintain sufficient services to complete directed tasks.  These services include, but are not limited to:</w:t>
      </w:r>
    </w:p>
    <w:tbl>
      <w:tblPr>
        <w:tblStyle w:val="Table1"/>
        <w:tblW w:w="8856.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5328"/>
        <w:tblGridChange w:id="0">
          <w:tblGrid>
            <w:gridCol w:w="3528"/>
            <w:gridCol w:w="5328"/>
          </w:tblGrid>
        </w:tblGridChange>
      </w:tblGrid>
      <w:tr>
        <w:trPr>
          <w:cantSplit w:val="0"/>
          <w:tblHeader w:val="0"/>
        </w:trPr>
        <w:tc>
          <w:tcPr/>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Housekeeping</w:t>
            </w:r>
          </w:p>
        </w:tc>
        <w:tc>
          <w:tcPr/>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Telecommunications</w:t>
            </w:r>
          </w:p>
        </w:tc>
      </w:tr>
      <w:tr>
        <w:trPr>
          <w:cantSplit w:val="0"/>
          <w:tblHeader w:val="0"/>
        </w:trPr>
        <w:tc>
          <w:tcPr/>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Electrical</w:t>
            </w:r>
          </w:p>
        </w:tc>
        <w:tc>
          <w:tcPr/>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HVAC</w:t>
            </w:r>
          </w:p>
        </w:tc>
      </w:tr>
      <w:tr>
        <w:trPr>
          <w:cantSplit w:val="0"/>
          <w:tblHeader w:val="0"/>
        </w:trPr>
        <w:tc>
          <w:tcPr/>
          <w:p w:rsidR="00000000" w:rsidDel="00000000" w:rsidP="00000000" w:rsidRDefault="00000000" w:rsidRPr="00000000" w14:paraId="0000002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Plumbing</w:t>
            </w:r>
          </w:p>
        </w:tc>
        <w:tc>
          <w:tcPr/>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Pest Control</w:t>
            </w:r>
          </w:p>
        </w:tc>
      </w:tr>
      <w:tr>
        <w:trPr>
          <w:cantSplit w:val="0"/>
          <w:tblHeader w:val="0"/>
        </w:trPr>
        <w:tc>
          <w:tcPr/>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Maintenance &amp; Repair</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90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Work Environment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Operations, with supports from other departments, shall create and maintain an environment that supports the goals and objectives of the organization.  </w:t>
      </w:r>
    </w:p>
    <w:p w:rsidR="00000000" w:rsidDel="00000000" w:rsidP="00000000" w:rsidRDefault="00000000" w:rsidRPr="00000000" w14:paraId="00000038">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Environmental Conditions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shall provide a work environment under the following guidelines:</w:t>
      </w:r>
    </w:p>
    <w:tbl>
      <w:tblPr>
        <w:tblStyle w:val="Table2"/>
        <w:tblW w:w="8946.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18"/>
        <w:gridCol w:w="4428"/>
        <w:tblGridChange w:id="0">
          <w:tblGrid>
            <w:gridCol w:w="4518"/>
            <w:gridCol w:w="4428"/>
          </w:tblGrid>
        </w:tblGridChange>
      </w:tblGrid>
      <w:tr>
        <w:trPr>
          <w:cantSplit w:val="0"/>
          <w:tblHeader w:val="0"/>
        </w:trPr>
        <w:tc>
          <w:tcPr/>
          <w:p w:rsidR="00000000" w:rsidDel="00000000" w:rsidP="00000000" w:rsidRDefault="00000000" w:rsidRPr="00000000" w14:paraId="0000003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Temperature – 68 to 76°F</w:t>
            </w:r>
          </w:p>
        </w:tc>
        <w:tc>
          <w:tcPr/>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Water – Tap and Drinking Water</w:t>
            </w:r>
          </w:p>
        </w:tc>
      </w:tr>
      <w:tr>
        <w:trPr>
          <w:cantSplit w:val="0"/>
          <w:tblHeader w:val="0"/>
        </w:trPr>
        <w:tc>
          <w:tcPr/>
          <w:p w:rsidR="00000000" w:rsidDel="00000000" w:rsidP="00000000" w:rsidRDefault="00000000" w:rsidRPr="00000000" w14:paraId="0000003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Relative Humidity – 20 to 60%</w:t>
            </w:r>
          </w:p>
        </w:tc>
        <w:tc>
          <w:tcPr>
            <w:vMerge w:val="restart"/>
          </w:tcPr>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Cleaning Agents – least toxic surface cleaners, hand soaps, etc.</w:t>
            </w:r>
          </w:p>
        </w:tc>
      </w:tr>
      <w:tr>
        <w:trPr>
          <w:cantSplit w:val="0"/>
          <w:tblHeader w:val="0"/>
        </w:trPr>
        <w:tc>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Lighting – Suitable to perform duties</w:t>
            </w:r>
          </w:p>
        </w:tc>
        <w:tc>
          <w:tcPr>
            <w:vMerge w:val="continue"/>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Noise Level – below 85 dB</w:t>
            </w:r>
          </w:p>
        </w:tc>
        <w:tc>
          <w:tcPr>
            <w:vMerge w:val="continue"/>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4">
      <w:pPr>
        <w:spacing w:before="120" w:lineRule="auto"/>
        <w:ind w:left="806" w:firstLine="0"/>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Any environmental conditions critical to the quality of products or services shall be monitored.  Visual and/or physical identifier shall designate any controlled/restricted areas.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Health, Cleanliness, and Personnel Attire</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dress code and personnel hygiene requirements are maintained within the Employee Handbook.  Additionally requirements may apply to the manufacturing of specific medical products.  Employees with infectious conditions are banned from manufacturing or working with medical devices meant for distribution.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792" w:right="0" w:hanging="43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Contamination Control</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9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548dd4"/>
          <w:sz w:val="22"/>
          <w:szCs w:val="22"/>
          <w:u w:val="none"/>
          <w:shd w:fill="auto" w:val="clear"/>
          <w:vertAlign w:val="baseline"/>
          <w:rtl w:val="0"/>
        </w:rPr>
        <w:t xml:space="preserve">The company is a provider of clean, non-sterile products. [Will differ from company to company].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prevent contamination of product, the company has implemented appropriate controls to limit the potential for contamination.  These controls include but are not limited to the following.</w:t>
      </w:r>
    </w:p>
    <w:tbl>
      <w:tblPr>
        <w:tblStyle w:val="Table3"/>
        <w:tblW w:w="8856.0" w:type="dxa"/>
        <w:jc w:val="left"/>
        <w:tblInd w:w="9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5328"/>
        <w:tblGridChange w:id="0">
          <w:tblGrid>
            <w:gridCol w:w="3528"/>
            <w:gridCol w:w="5328"/>
          </w:tblGrid>
        </w:tblGridChange>
      </w:tblGrid>
      <w:tr>
        <w:trPr>
          <w:cantSplit w:val="0"/>
          <w:tblHeader w:val="0"/>
        </w:trPr>
        <w:tc>
          <w:tcPr/>
          <w:p w:rsidR="00000000" w:rsidDel="00000000" w:rsidP="00000000" w:rsidRDefault="00000000" w:rsidRPr="00000000" w14:paraId="0000004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Housekeeping</w:t>
            </w:r>
          </w:p>
        </w:tc>
        <w:tc>
          <w:tcPr/>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12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PPE (Personnel Protective Equipment)</w:t>
            </w:r>
          </w:p>
        </w:tc>
      </w:tr>
      <w:tr>
        <w:trPr>
          <w:cantSplit w:val="0"/>
          <w:tblHeader w:val="0"/>
        </w:trPr>
        <w:tc>
          <w:tcPr/>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Access Restrictions</w:t>
            </w:r>
          </w:p>
        </w:tc>
        <w:tc>
          <w:tcPr/>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Flooring Options</w:t>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bl>
      <w:tblPr>
        <w:tblStyle w:val="Table4"/>
        <w:tblW w:w="97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11"/>
        <w:gridCol w:w="1058"/>
        <w:gridCol w:w="1069"/>
        <w:gridCol w:w="1417"/>
        <w:gridCol w:w="5401"/>
        <w:tblGridChange w:id="0">
          <w:tblGrid>
            <w:gridCol w:w="811"/>
            <w:gridCol w:w="1058"/>
            <w:gridCol w:w="1069"/>
            <w:gridCol w:w="1417"/>
            <w:gridCol w:w="5401"/>
          </w:tblGrid>
        </w:tblGridChange>
      </w:tblGrid>
      <w:tr>
        <w:trPr>
          <w:cantSplit w:val="0"/>
          <w:tblHeader w:val="0"/>
        </w:trPr>
        <w:tc>
          <w:tcPr>
            <w:shd w:fill="d9d9d9" w:val="clear"/>
          </w:tcPr>
          <w:p w:rsidR="00000000" w:rsidDel="00000000" w:rsidP="00000000" w:rsidRDefault="00000000" w:rsidRPr="00000000" w14:paraId="00000058">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Rev #</w:t>
            </w:r>
          </w:p>
        </w:tc>
        <w:tc>
          <w:tcPr>
            <w:shd w:fill="d9d9d9" w:val="clear"/>
          </w:tcPr>
          <w:p w:rsidR="00000000" w:rsidDel="00000000" w:rsidP="00000000" w:rsidRDefault="00000000" w:rsidRPr="00000000" w14:paraId="00000059">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Doc #</w:t>
            </w:r>
          </w:p>
        </w:tc>
        <w:tc>
          <w:tcPr>
            <w:shd w:fill="d9d9d9" w:val="clear"/>
          </w:tcPr>
          <w:p w:rsidR="00000000" w:rsidDel="00000000" w:rsidP="00000000" w:rsidRDefault="00000000" w:rsidRPr="00000000" w14:paraId="0000005A">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Effective Date</w:t>
            </w:r>
          </w:p>
        </w:tc>
        <w:tc>
          <w:tcPr>
            <w:shd w:fill="d9d9d9" w:val="clear"/>
          </w:tcPr>
          <w:p w:rsidR="00000000" w:rsidDel="00000000" w:rsidP="00000000" w:rsidRDefault="00000000" w:rsidRPr="00000000" w14:paraId="0000005B">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CHO</w:t>
            </w:r>
          </w:p>
        </w:tc>
        <w:tc>
          <w:tcPr>
            <w:shd w:fill="d9d9d9" w:val="clear"/>
          </w:tcPr>
          <w:p w:rsidR="00000000" w:rsidDel="00000000" w:rsidP="00000000" w:rsidRDefault="00000000" w:rsidRPr="00000000" w14:paraId="0000005C">
            <w:pPr>
              <w:spacing w:after="120" w:before="12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Description of Change</w:t>
            </w:r>
          </w:p>
        </w:tc>
      </w:tr>
      <w:tr>
        <w:trPr>
          <w:cantSplit w:val="0"/>
          <w:tblHeader w:val="0"/>
        </w:trPr>
        <w:tc>
          <w:tcPr/>
          <w:p w:rsidR="00000000" w:rsidDel="00000000" w:rsidP="00000000" w:rsidRDefault="00000000" w:rsidRPr="00000000" w14:paraId="0000005D">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01</w:t>
            </w:r>
          </w:p>
        </w:tc>
        <w:tc>
          <w:tcPr/>
          <w:p w:rsidR="00000000" w:rsidDel="00000000" w:rsidP="00000000" w:rsidRDefault="00000000" w:rsidRPr="00000000" w14:paraId="0000005E">
            <w:pPr>
              <w:spacing w:after="120" w:before="120" w:lineRule="auto"/>
              <w:jc w:val="center"/>
              <w:rPr>
                <w:rFonts w:ascii="Arial Narrow" w:cs="Arial Narrow" w:eastAsia="Arial Narrow" w:hAnsi="Arial Narrow"/>
                <w:color w:val="000000"/>
                <w:sz w:val="20"/>
                <w:szCs w:val="20"/>
              </w:rPr>
            </w:pPr>
            <w:r w:rsidDel="00000000" w:rsidR="00000000" w:rsidRPr="00000000">
              <w:rPr>
                <w:rFonts w:ascii="Arial Narrow" w:cs="Arial Narrow" w:eastAsia="Arial Narrow" w:hAnsi="Arial Narrow"/>
                <w:color w:val="000000"/>
                <w:sz w:val="20"/>
                <w:szCs w:val="20"/>
                <w:rtl w:val="0"/>
              </w:rPr>
              <w:t xml:space="preserve">QP-0022</w:t>
            </w:r>
          </w:p>
        </w:tc>
        <w:tc>
          <w:tcPr/>
          <w:p w:rsidR="00000000" w:rsidDel="00000000" w:rsidP="00000000" w:rsidRDefault="00000000" w:rsidRPr="00000000" w14:paraId="0000005F">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60">
            <w:pPr>
              <w:spacing w:after="120" w:before="120" w:lineRule="auto"/>
              <w:jc w:val="center"/>
              <w:rPr>
                <w:rFonts w:ascii="Arial Narrow" w:cs="Arial Narrow" w:eastAsia="Arial Narrow" w:hAnsi="Arial Narrow"/>
                <w:color w:val="000000"/>
                <w:sz w:val="20"/>
                <w:szCs w:val="20"/>
              </w:rPr>
            </w:pPr>
            <w:r w:rsidDel="00000000" w:rsidR="00000000" w:rsidRPr="00000000">
              <w:rPr>
                <w:rtl w:val="0"/>
              </w:rPr>
            </w:r>
          </w:p>
        </w:tc>
        <w:tc>
          <w:tcPr/>
          <w:p w:rsidR="00000000" w:rsidDel="00000000" w:rsidP="00000000" w:rsidRDefault="00000000" w:rsidRPr="00000000" w14:paraId="00000061">
            <w:pPr>
              <w:spacing w:after="120" w:before="120" w:lineRule="auto"/>
              <w:rPr>
                <w:rFonts w:ascii="Arial Narrow" w:cs="Arial Narrow" w:eastAsia="Arial Narrow" w:hAnsi="Arial Narrow"/>
                <w:sz w:val="20"/>
                <w:szCs w:val="20"/>
              </w:rPr>
            </w:pPr>
            <w:r w:rsidDel="00000000" w:rsidR="00000000" w:rsidRPr="00000000">
              <w:rPr>
                <w:rFonts w:ascii="Arial Narrow" w:cs="Arial Narrow" w:eastAsia="Arial Narrow" w:hAnsi="Arial Narrow"/>
                <w:sz w:val="20"/>
                <w:szCs w:val="20"/>
                <w:rtl w:val="0"/>
              </w:rPr>
              <w:t xml:space="preserve">Initial release of the Infrastructure and Work Environment Controls</w:t>
            </w:r>
          </w:p>
        </w:tc>
      </w:tr>
    </w:tbl>
    <w:p w:rsidR="00000000" w:rsidDel="00000000" w:rsidP="00000000" w:rsidRDefault="00000000" w:rsidRPr="00000000" w14:paraId="00000062">
      <w:pPr>
        <w:spacing w:after="200" w:line="276" w:lineRule="auto"/>
        <w:rPr>
          <w:rFonts w:ascii="Arial" w:cs="Arial" w:eastAsia="Arial" w:hAnsi="Arial"/>
          <w:b w:val="1"/>
          <w:color w:val="000000"/>
          <w:sz w:val="22"/>
          <w:szCs w:val="22"/>
        </w:rPr>
      </w:pPr>
      <w:r w:rsidDel="00000000" w:rsidR="00000000" w:rsidRPr="00000000">
        <w:rPr>
          <w:rtl w:val="0"/>
        </w:rPr>
      </w:r>
    </w:p>
    <w:sectPr>
      <w:headerReference r:id="rId7" w:type="default"/>
      <w:footerReference r:id="rId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G Time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keepNext w:val="0"/>
      <w:keepLines w:val="0"/>
      <w:pageBreakBefore w:val="0"/>
      <w:widowControl w:val="1"/>
      <w:pBdr>
        <w:top w:space="0" w:sz="0" w:val="nil"/>
        <w:left w:space="0" w:sz="0" w:val="nil"/>
        <w:bottom w:color="000000" w:space="1" w:sz="24" w:val="single"/>
        <w:right w:space="0" w:sz="0" w:val="nil"/>
        <w:between w:space="0" w:sz="0" w:val="nil"/>
      </w:pBdr>
      <w:shd w:fill="auto" w:val="clear"/>
      <w:tabs>
        <w:tab w:val="center" w:pos="4680"/>
        <w:tab w:val="right" w:pos="9360"/>
      </w:tabs>
      <w:spacing w:after="0" w:before="0" w:line="240" w:lineRule="auto"/>
      <w:ind w:left="0" w:right="-90" w:firstLine="0"/>
      <w:jc w:val="center"/>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120" w:line="240" w:lineRule="auto"/>
      <w:ind w:left="0" w:right="-86" w:firstLine="0"/>
      <w:jc w:val="left"/>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6570"/>
        <w:tab w:val="left" w:pos="7020"/>
        <w:tab w:val="left" w:pos="7290"/>
        <w:tab w:val="left" w:pos="8010"/>
        <w:tab w:val="left" w:pos="8640"/>
        <w:tab w:val="left" w:pos="9000"/>
      </w:tabs>
      <w:spacing w:after="0" w:before="120" w:line="240" w:lineRule="auto"/>
      <w:ind w:left="0" w:right="-86"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CONFIDENTIAL</w:t>
      <w:tab/>
      <w:tab/>
      <w:t xml:space="preserve">Last printed 2/21/2020</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22"/>
        <w:szCs w:val="22"/>
      </w:rPr>
    </w:pPr>
    <w:r w:rsidDel="00000000" w:rsidR="00000000" w:rsidRPr="00000000">
      <w:rPr>
        <w:rtl w:val="0"/>
      </w:rPr>
    </w:r>
  </w:p>
  <w:tbl>
    <w:tblPr>
      <w:tblStyle w:val="Table5"/>
      <w:tblW w:w="9990.0" w:type="dxa"/>
      <w:jc w:val="left"/>
      <w:tblInd w:w="-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90"/>
      <w:gridCol w:w="2358"/>
      <w:gridCol w:w="2070"/>
      <w:gridCol w:w="2052"/>
      <w:gridCol w:w="720"/>
      <w:tblGridChange w:id="0">
        <w:tblGrid>
          <w:gridCol w:w="2790"/>
          <w:gridCol w:w="2358"/>
          <w:gridCol w:w="2070"/>
          <w:gridCol w:w="2052"/>
          <w:gridCol w:w="720"/>
        </w:tblGrid>
      </w:tblGridChange>
    </w:tblGrid>
    <w:tr>
      <w:trPr>
        <w:cantSplit w:val="0"/>
        <w:trHeight w:val="890" w:hRule="atLeast"/>
        <w:tblHeader w:val="0"/>
      </w:trPr>
      <w:tc>
        <w:tcPr>
          <w:vMerge w:val="restart"/>
        </w:tcPr>
        <w:p w:rsidR="00000000" w:rsidDel="00000000" w:rsidP="00000000" w:rsidRDefault="00000000" w:rsidRPr="00000000" w14:paraId="00000064">
          <w:pPr>
            <w:tabs>
              <w:tab w:val="center" w:pos="4320"/>
              <w:tab w:val="right" w:pos="8640"/>
            </w:tabs>
            <w:ind w:left="-198" w:firstLine="0"/>
            <w:rPr>
              <w:rFonts w:ascii="CG Times" w:cs="CG Times" w:eastAsia="CG Times" w:hAnsi="CG Times"/>
              <w:color w:val="548dd4"/>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47626</wp:posOffset>
                </wp:positionH>
                <wp:positionV relativeFrom="paragraph">
                  <wp:posOffset>276225</wp:posOffset>
                </wp:positionV>
                <wp:extent cx="476250" cy="561975"/>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76250" cy="561975"/>
                        </a:xfrm>
                        <a:prstGeom prst="rect"/>
                        <a:ln/>
                      </pic:spPr>
                    </pic:pic>
                  </a:graphicData>
                </a:graphic>
              </wp:anchor>
            </w:drawing>
          </w:r>
        </w:p>
        <w:tbl>
          <w:tblPr>
            <w:tblStyle w:val="Table6"/>
            <w:tblW w:w="2760.0" w:type="dxa"/>
            <w:jc w:val="left"/>
            <w:tblInd w:w="-198.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25"/>
            <w:gridCol w:w="1635"/>
            <w:tblGridChange w:id="0">
              <w:tblGrid>
                <w:gridCol w:w="1125"/>
                <w:gridCol w:w="1635"/>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jc w:val="right"/>
                  <w:rPr>
                    <w:rFonts w:ascii="CG Times" w:cs="CG Times" w:eastAsia="CG Times" w:hAnsi="CG Times"/>
                    <w:color w:val="548dd4"/>
                  </w:rPr>
                </w:pP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rPr>
                    <w:rFonts w:ascii="CG Times" w:cs="CG Times" w:eastAsia="CG Times" w:hAnsi="CG Times"/>
                    <w:i w:val="1"/>
                  </w:rPr>
                </w:pPr>
                <w:r w:rsidDel="00000000" w:rsidR="00000000" w:rsidRPr="00000000">
                  <w:rPr>
                    <w:rFonts w:ascii="CG Times" w:cs="CG Times" w:eastAsia="CG Times" w:hAnsi="CG Times"/>
                    <w:i w:val="1"/>
                    <w:rtl w:val="0"/>
                  </w:rPr>
                  <w:t xml:space="preserve">Medical Data Networks, LLC</w:t>
                </w:r>
              </w:p>
            </w:tc>
          </w:tr>
        </w:tbl>
        <w:p w:rsidR="00000000" w:rsidDel="00000000" w:rsidP="00000000" w:rsidRDefault="00000000" w:rsidRPr="00000000" w14:paraId="00000067">
          <w:pPr>
            <w:tabs>
              <w:tab w:val="center" w:pos="4320"/>
              <w:tab w:val="right" w:pos="8640"/>
            </w:tabs>
            <w:ind w:left="-198" w:firstLine="0"/>
            <w:rPr>
              <w:rFonts w:ascii="CG Times" w:cs="CG Times" w:eastAsia="CG Times" w:hAnsi="CG Times"/>
              <w:color w:val="548dd4"/>
            </w:rPr>
          </w:pPr>
          <w:r w:rsidDel="00000000" w:rsidR="00000000" w:rsidRPr="00000000">
            <w:rPr>
              <w:rtl w:val="0"/>
            </w:rPr>
          </w:r>
        </w:p>
      </w:tc>
      <w:tc>
        <w:tcPr>
          <w:gridSpan w:val="3"/>
          <w:vAlign w:val="cente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Title: Infrastructure and Work Environment Control Process</w:t>
          </w:r>
        </w:p>
      </w:tc>
      <w:tc>
        <w:tcPr>
          <w:vAlign w:val="center"/>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REV:</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01</w:t>
          </w:r>
          <w:r w:rsidDel="00000000" w:rsidR="00000000" w:rsidRPr="00000000">
            <w:rPr>
              <w:rtl w:val="0"/>
            </w:rPr>
          </w:r>
        </w:p>
      </w:tc>
    </w:tr>
    <w:tr>
      <w:trPr>
        <w:cantSplit w:val="0"/>
        <w:trHeight w:val="350" w:hRule="atLeast"/>
        <w:tblHeader w:val="0"/>
      </w:trPr>
      <w:tc>
        <w:tcPr>
          <w:vMerge w:val="continue"/>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Quality Procedure</w:t>
          </w:r>
        </w:p>
      </w:tc>
      <w:tc>
        <w:tcPr>
          <w:vAlign w:val="center"/>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10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 ID:  QP-0022</w:t>
          </w:r>
        </w:p>
      </w:tc>
      <w:tc>
        <w:tcPr>
          <w:gridSpan w:val="2"/>
          <w:vAlign w:val="cente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9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Effective Date:  9/1/2021</w:t>
          </w:r>
        </w:p>
      </w:tc>
    </w:tr>
  </w:tbl>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3"/>
      <w:numFmt w:val="decimal"/>
      <w:lvlText w:val="%1."/>
      <w:lvlJc w:val="left"/>
      <w:pPr>
        <w:ind w:left="360" w:hanging="360"/>
      </w:pPr>
      <w:rPr>
        <w:b w:val="1"/>
        <w:i w:val="0"/>
        <w:sz w:val="24"/>
        <w:szCs w:val="24"/>
      </w:rPr>
    </w:lvl>
    <w:lvl w:ilvl="1">
      <w:start w:val="1"/>
      <w:numFmt w:val="decimal"/>
      <w:lvlText w:val="%1.%2."/>
      <w:lvlJc w:val="left"/>
      <w:pPr>
        <w:ind w:left="792" w:hanging="432"/>
      </w:pPr>
      <w:rPr>
        <w:b w:val="1"/>
        <w:sz w:val="24"/>
        <w:szCs w:val="24"/>
      </w:rPr>
    </w:lvl>
    <w:lvl w:ilvl="2">
      <w:start w:val="1"/>
      <w:numFmt w:val="decimal"/>
      <w:lvlText w:val="%1.%2.%3."/>
      <w:lvlJc w:val="left"/>
      <w:pPr>
        <w:ind w:left="1224" w:hanging="504"/>
      </w:pPr>
      <w:rPr>
        <w:b w:val="1"/>
        <w:sz w:val="24"/>
        <w:szCs w:val="24"/>
      </w:rPr>
    </w:lvl>
    <w:lvl w:ilvl="3">
      <w:start w:val="1"/>
      <w:numFmt w:val="decimal"/>
      <w:lvlText w:val="%1.%2.%3.%4."/>
      <w:lvlJc w:val="left"/>
      <w:pPr>
        <w:ind w:left="1728" w:hanging="647.9999999999998"/>
      </w:pPr>
      <w:rPr>
        <w:b w:val="0"/>
        <w:sz w:val="24"/>
        <w:szCs w:val="24"/>
      </w:rPr>
    </w:lvl>
    <w:lvl w:ilvl="4">
      <w:start w:val="1"/>
      <w:numFmt w:val="decimal"/>
      <w:lvlText w:val="%1.%2.%3.%4.%5."/>
      <w:lvlJc w:val="left"/>
      <w:pPr>
        <w:ind w:left="2232" w:hanging="792"/>
      </w:pPr>
      <w:rPr>
        <w:b w:val="0"/>
        <w:sz w:val="24"/>
        <w:szCs w:val="24"/>
      </w:rPr>
    </w:lvl>
    <w:lvl w:ilvl="5">
      <w:start w:val="1"/>
      <w:numFmt w:val="decimal"/>
      <w:lvlText w:val="%1.%2.%3.%4.%5.%6."/>
      <w:lvlJc w:val="left"/>
      <w:pPr>
        <w:ind w:left="2736" w:hanging="935.9999999999998"/>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0000000000005"/>
      </w:pPr>
      <w:rPr>
        <w:b w:val="0"/>
      </w:rPr>
    </w:lvl>
    <w:lvl w:ilvl="8">
      <w:start w:val="1"/>
      <w:numFmt w:val="decimal"/>
      <w:lvlText w:val="%1.%2.%3.%4.%5.%6.%7.%8.%9."/>
      <w:lvlJc w:val="left"/>
      <w:pPr>
        <w:ind w:left="4320" w:hanging="1440"/>
      </w:pPr>
      <w:rPr>
        <w:b w:val="0"/>
      </w:rPr>
    </w:lvl>
  </w:abstractNum>
  <w:abstractNum w:abstractNumId="2">
    <w:lvl w:ilvl="0">
      <w:start w:val="1"/>
      <w:numFmt w:val="decimal"/>
      <w:lvlText w:val="%1."/>
      <w:lvlJc w:val="left"/>
      <w:pPr>
        <w:ind w:left="720" w:hanging="720"/>
      </w:pPr>
      <w:rPr>
        <w:b w:val="1"/>
        <w:i w:val="0"/>
        <w:sz w:val="24"/>
        <w:szCs w:val="24"/>
      </w:rPr>
    </w:lvl>
    <w:lvl w:ilvl="1">
      <w:start w:val="4"/>
      <w:numFmt w:val="decimal"/>
      <w:lvlText w:val="%1.%2"/>
      <w:lvlJc w:val="left"/>
      <w:pPr>
        <w:ind w:left="1080" w:hanging="720"/>
      </w:pPr>
      <w:rPr>
        <w:b w:val="0"/>
        <w:sz w:val="24"/>
        <w:szCs w:val="24"/>
      </w:rPr>
    </w:lvl>
    <w:lvl w:ilvl="2">
      <w:start w:val="1"/>
      <w:numFmt w:val="decimal"/>
      <w:lvlText w:val="%1.%2.%3"/>
      <w:lvlJc w:val="left"/>
      <w:pPr>
        <w:ind w:left="1440" w:hanging="720"/>
      </w:pPr>
      <w:rPr>
        <w:rFonts w:ascii="Arial" w:cs="Arial" w:eastAsia="Arial" w:hAnsi="Arial"/>
        <w:b w:val="0"/>
        <w:sz w:val="24"/>
        <w:szCs w:val="24"/>
      </w:rPr>
    </w:lvl>
    <w:lvl w:ilvl="3">
      <w:start w:val="1"/>
      <w:numFmt w:val="decimal"/>
      <w:lvlText w:val="%1.%2.%3.%4"/>
      <w:lvlJc w:val="left"/>
      <w:pPr>
        <w:ind w:left="1800" w:hanging="720"/>
      </w:pPr>
      <w:rPr>
        <w:b w:val="0"/>
        <w:sz w:val="24"/>
        <w:szCs w:val="24"/>
      </w:rPr>
    </w:lvl>
    <w:lvl w:ilvl="4">
      <w:start w:val="1"/>
      <w:numFmt w:val="decimal"/>
      <w:lvlText w:val="%1.%2.%3.%4.%5"/>
      <w:lvlJc w:val="left"/>
      <w:pPr>
        <w:ind w:left="2160" w:hanging="720"/>
      </w:pPr>
      <w:rPr>
        <w:b w:val="0"/>
        <w:sz w:val="24"/>
        <w:szCs w:val="24"/>
      </w:rPr>
    </w:lvl>
    <w:lvl w:ilvl="5">
      <w:start w:val="1"/>
      <w:numFmt w:val="decimal"/>
      <w:lvlText w:val="%1.%2.%3.%4.%5.%6"/>
      <w:lvlJc w:val="left"/>
      <w:pPr>
        <w:ind w:left="5040" w:hanging="1440"/>
      </w:pPr>
      <w:rPr>
        <w:b w:val="0"/>
      </w:rPr>
    </w:lvl>
    <w:lvl w:ilvl="6">
      <w:start w:val="1"/>
      <w:numFmt w:val="decimal"/>
      <w:lvlText w:val="%1.%2.%3.%4.%5.%6.%7"/>
      <w:lvlJc w:val="left"/>
      <w:pPr>
        <w:ind w:left="5760" w:hanging="1440"/>
      </w:pPr>
      <w:rPr>
        <w:b w:val="0"/>
      </w:rPr>
    </w:lvl>
    <w:lvl w:ilvl="7">
      <w:start w:val="1"/>
      <w:numFmt w:val="decimal"/>
      <w:lvlText w:val="%1.%2.%3.%4.%5.%6.%7.%8"/>
      <w:lvlJc w:val="left"/>
      <w:pPr>
        <w:ind w:left="6840" w:hanging="1800"/>
      </w:pPr>
      <w:rPr>
        <w:b w:val="0"/>
      </w:rPr>
    </w:lvl>
    <w:lvl w:ilvl="8">
      <w:start w:val="1"/>
      <w:numFmt w:val="decimal"/>
      <w:lvlText w:val="%1.%2.%3.%4.%5.%6.%7.%8.%9"/>
      <w:lvlJc w:val="left"/>
      <w:pPr>
        <w:ind w:left="7560" w:hanging="1800"/>
      </w:pPr>
      <w:rPr>
        <w:b w:val="0"/>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900A55"/>
    <w:pPr>
      <w:spacing w:after="0" w:line="240" w:lineRule="auto"/>
    </w:pPr>
    <w:rPr>
      <w:rFonts w:ascii="Times New Roman" w:cs="Times New Roman" w:eastAsia="Times New Roman" w:hAnsi="Times New Roman"/>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nhideWhenUsed w:val="1"/>
    <w:rsid w:val="00900A55"/>
    <w:pPr>
      <w:tabs>
        <w:tab w:val="center" w:pos="4320"/>
        <w:tab w:val="right" w:pos="8640"/>
      </w:tabs>
    </w:pPr>
  </w:style>
  <w:style w:type="character" w:styleId="HeaderChar" w:customStyle="1">
    <w:name w:val="Header Char"/>
    <w:basedOn w:val="DefaultParagraphFont"/>
    <w:link w:val="Header"/>
    <w:rsid w:val="00900A55"/>
    <w:rPr>
      <w:rFonts w:ascii="Times New Roman" w:cs="Times New Roman" w:eastAsia="Times New Roman" w:hAnsi="Times New Roman"/>
      <w:sz w:val="24"/>
      <w:szCs w:val="24"/>
    </w:rPr>
  </w:style>
  <w:style w:type="character" w:styleId="PageNumber">
    <w:name w:val="page number"/>
    <w:basedOn w:val="DefaultParagraphFont"/>
    <w:unhideWhenUsed w:val="1"/>
    <w:rsid w:val="00900A55"/>
  </w:style>
  <w:style w:type="paragraph" w:styleId="BalloonText">
    <w:name w:val="Balloon Text"/>
    <w:basedOn w:val="Normal"/>
    <w:link w:val="BalloonTextChar"/>
    <w:uiPriority w:val="99"/>
    <w:semiHidden w:val="1"/>
    <w:unhideWhenUsed w:val="1"/>
    <w:rsid w:val="00900A55"/>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00A55"/>
    <w:rPr>
      <w:rFonts w:ascii="Tahoma" w:cs="Tahoma" w:eastAsia="Times New Roman" w:hAnsi="Tahoma"/>
      <w:sz w:val="16"/>
      <w:szCs w:val="16"/>
    </w:rPr>
  </w:style>
  <w:style w:type="paragraph" w:styleId="ListParagraph">
    <w:name w:val="List Paragraph"/>
    <w:basedOn w:val="Normal"/>
    <w:uiPriority w:val="34"/>
    <w:qFormat w:val="1"/>
    <w:rsid w:val="00900A55"/>
    <w:pPr>
      <w:ind w:left="720"/>
      <w:contextualSpacing w:val="1"/>
    </w:pPr>
  </w:style>
  <w:style w:type="table" w:styleId="TableGrid">
    <w:name w:val="Table Grid"/>
    <w:basedOn w:val="TableNormal"/>
    <w:uiPriority w:val="59"/>
    <w:rsid w:val="0071713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Footer">
    <w:name w:val="footer"/>
    <w:basedOn w:val="Normal"/>
    <w:link w:val="FooterChar"/>
    <w:unhideWhenUsed w:val="1"/>
    <w:rsid w:val="00717136"/>
    <w:pPr>
      <w:tabs>
        <w:tab w:val="center" w:pos="4680"/>
        <w:tab w:val="right" w:pos="9360"/>
      </w:tabs>
    </w:pPr>
  </w:style>
  <w:style w:type="character" w:styleId="FooterChar" w:customStyle="1">
    <w:name w:val="Footer Char"/>
    <w:basedOn w:val="DefaultParagraphFont"/>
    <w:link w:val="Footer"/>
    <w:uiPriority w:val="99"/>
    <w:rsid w:val="00717136"/>
    <w:rPr>
      <w:rFonts w:ascii="Times New Roman" w:cs="Times New Roman" w:eastAsia="Times New Roman" w:hAnsi="Times New Roman"/>
      <w:sz w:val="24"/>
      <w:szCs w:val="24"/>
    </w:rPr>
  </w:style>
  <w:style w:type="paragraph" w:styleId="Default" w:customStyle="1">
    <w:name w:val="Default"/>
    <w:rsid w:val="00166006"/>
    <w:pPr>
      <w:autoSpaceDE w:val="0"/>
      <w:autoSpaceDN w:val="0"/>
      <w:adjustRightInd w:val="0"/>
      <w:spacing w:after="0" w:line="240" w:lineRule="auto"/>
    </w:pPr>
    <w:rPr>
      <w:rFonts w:ascii="Arial" w:cs="Arial" w:hAnsi="Arial"/>
      <w:color w:val="000000"/>
      <w:sz w:val="24"/>
      <w:szCs w:val="24"/>
    </w:rPr>
  </w:style>
  <w:style w:type="paragraph" w:styleId="BodyTextIndent">
    <w:name w:val="Body Text Indent"/>
    <w:basedOn w:val="Normal"/>
    <w:link w:val="BodyTextIndentChar"/>
    <w:rsid w:val="00530741"/>
    <w:pPr>
      <w:ind w:left="360"/>
    </w:pPr>
    <w:rPr>
      <w:lang w:eastAsia="nl-NL"/>
    </w:rPr>
  </w:style>
  <w:style w:type="character" w:styleId="BodyTextIndentChar" w:customStyle="1">
    <w:name w:val="Body Text Indent Char"/>
    <w:basedOn w:val="DefaultParagraphFont"/>
    <w:link w:val="BodyTextIndent"/>
    <w:rsid w:val="00530741"/>
    <w:rPr>
      <w:rFonts w:ascii="Times New Roman" w:cs="Times New Roman" w:eastAsia="Times New Roman" w:hAnsi="Times New Roman"/>
      <w:sz w:val="24"/>
      <w:szCs w:val="24"/>
      <w:lang w:eastAsia="nl-NL"/>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CGTimes-regular.ttf"/><Relationship Id="rId6" Type="http://schemas.openxmlformats.org/officeDocument/2006/relationships/font" Target="fonts/CGTimes-bold.ttf"/><Relationship Id="rId7" Type="http://schemas.openxmlformats.org/officeDocument/2006/relationships/font" Target="fonts/CGTimes-italic.ttf"/><Relationship Id="rId8" Type="http://schemas.openxmlformats.org/officeDocument/2006/relationships/font" Target="fonts/CGTime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0vAVdiWjCn5uokjz/7UheEFlVQ==">AMUW2mVvZoyOZwSR0EMz0O/a6Pnj40dOaT1XbksTrPXjDDrS8OBauRtYqcnz8g50epv0e2GgPXSjP4yB9MQtajLdDxm14rWY+Y+Yw9nh/2YJPs/aOA8IkCpT+w/7cnT80+A17UMSMFYO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2013-08-26T18:51:00Z</dcterms:created>
</cp:coreProperties>
</file>