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controlling and maintaining the documentation associated with the Quality Management System.  These policies and procedures include document numbering scheme, standardization, change control, review and approval, new/revision/obsolete documents, distribution, and control of external documentation.</w:t>
      </w:r>
    </w:p>
    <w:p w:rsidR="00000000" w:rsidDel="00000000" w:rsidP="00000000" w:rsidRDefault="00000000" w:rsidRPr="00000000" w14:paraId="0000000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8">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documentation that is required by the Quality Management System.  Document Control may maintain other company relevant documentation such as Research Material and Non-Disclosure Agreements; these documents are exempt from this procedure.</w:t>
      </w:r>
    </w:p>
    <w:p w:rsidR="00000000" w:rsidDel="00000000" w:rsidP="00000000" w:rsidRDefault="00000000" w:rsidRPr="00000000" w14:paraId="0000000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Controlled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document that affects the quality of the product and/or service and is reviewed and approved prior to release for use or reference.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Control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physical and electronic databases of controlled documents.</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Quality personnel shall be trained to this procedure and the training documented.</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Document Change Orders are managed and maintained by the Quality Department.  Obsolete documents are archived for a minimum of five years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r w:rsidDel="00000000" w:rsidR="00000000" w:rsidRPr="00000000">
        <w:rPr>
          <w:rtl w:val="0"/>
        </w:rPr>
      </w:r>
    </w:p>
    <w:p w:rsidR="00000000" w:rsidDel="00000000" w:rsidP="00000000" w:rsidRDefault="00000000" w:rsidRPr="00000000" w14:paraId="00000015">
      <w:pPr>
        <w:spacing w:before="12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 FDA</w:t>
      </w:r>
      <w:r w:rsidDel="00000000" w:rsidR="00000000" w:rsidRPr="00000000">
        <w:rPr>
          <w:rFonts w:ascii="Arial" w:cs="Arial" w:eastAsia="Arial" w:hAnsi="Arial"/>
          <w:sz w:val="22"/>
          <w:szCs w:val="22"/>
          <w:rtl w:val="0"/>
        </w:rPr>
        <w:t xml:space="preserve"> Quality System Regulations</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7">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8">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9">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A">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QF-0003-1</w:t>
      </w:r>
      <w:r w:rsidDel="00000000" w:rsidR="00000000" w:rsidRPr="00000000">
        <w:rPr>
          <w:rFonts w:ascii="Arial" w:cs="Arial" w:eastAsia="Arial" w:hAnsi="Arial"/>
          <w:sz w:val="22"/>
          <w:szCs w:val="22"/>
          <w:rtl w:val="0"/>
        </w:rPr>
        <w:t xml:space="preserve"> – Document Change Order (DCO) Form</w:t>
      </w:r>
    </w:p>
    <w:p w:rsidR="00000000" w:rsidDel="00000000" w:rsidP="00000000" w:rsidRDefault="00000000" w:rsidRPr="00000000" w14:paraId="0000001B">
      <w:pPr>
        <w:spacing w:before="60" w:lineRule="auto"/>
        <w:ind w:left="900" w:firstLine="0"/>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Attachment 1 – </w:t>
      </w:r>
      <w:r w:rsidDel="00000000" w:rsidR="00000000" w:rsidRPr="00000000">
        <w:rPr>
          <w:rFonts w:ascii="Arial" w:cs="Arial" w:eastAsia="Arial" w:hAnsi="Arial"/>
          <w:sz w:val="22"/>
          <w:szCs w:val="22"/>
          <w:rtl w:val="0"/>
        </w:rPr>
        <w:t xml:space="preserve">Document Control Approval Matrix</w:t>
      </w:r>
      <w:r w:rsidDel="00000000" w:rsidR="00000000" w:rsidRPr="00000000">
        <w:rPr>
          <w:rtl w:val="0"/>
        </w:rPr>
      </w:r>
    </w:p>
    <w:p w:rsidR="00000000" w:rsidDel="00000000" w:rsidP="00000000" w:rsidRDefault="00000000" w:rsidRPr="00000000" w14:paraId="0000001C">
      <w:pPr>
        <w:spacing w:before="60" w:lineRule="auto"/>
        <w:ind w:left="90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 Control Reference </w:t>
      </w:r>
      <w:r w:rsidDel="00000000" w:rsidR="00000000" w:rsidRPr="00000000">
        <w:rPr>
          <w:rFonts w:ascii="Arial" w:cs="Arial" w:eastAsia="Arial" w:hAnsi="Arial"/>
          <w:sz w:val="22"/>
          <w:szCs w:val="22"/>
          <w:rtl w:val="0"/>
        </w:rPr>
        <w:t xml:space="preserve">- Document Control Index, Part Number Index, External Document Index,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Control Procedure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procedures described in this document work in conjunction to establish a controlled environment in which changes and improvements can introduced into the quality systems while mitigating risk and ensuring the quality of the products and services provided.  The Document Control Library is restricted access and only designated personnel have the ability to add, remove, or change the contents of the databases.  The Document Control Administrator maintains a Controlled Document Index of all approved documents.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Numbering System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controlled document is given a unique document identification (Doc ID) assigned by the Document Control Admin.  This Doc ID is made up of an abbreviation for the document type and a four digit number separated by a dash.  A list of approved document type abbreviations is maintained by Doc Control.  Examples include QP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uality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rocedure, SOP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tandard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perating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rocedure, and PS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roduct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pecification.  The four digit number follows a consecutive numbering pattern for all document types.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Numbers have a separate document identification system that is a unique five digit code for each part or product.  Part number documents include drawings, spec sheets, and other product specifying documentation.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Standardization and Templates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consistent document format has been established to ensure necessary information is included within the document, the documents remain legible, and assist the review/approval process.  The sections required within a document are dependent upon the document type.  Existing Document Templates are maintained in the Doc Control Library.  Doc Control Admin will provide templates for all document types as needed.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Change Control Procedure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5475605" cy="791845"/>
                <wp:effectExtent b="0" l="0" r="0" t="0"/>
                <wp:wrapNone/>
                <wp:docPr id="1" name=""/>
                <a:graphic>
                  <a:graphicData uri="http://schemas.microsoft.com/office/word/2010/wordprocessingShape">
                    <wps:wsp>
                      <wps:cNvSpPr/>
                      <wps:cNvPr id="2" name="Shape 2"/>
                      <wps:spPr>
                        <a:xfrm>
                          <a:off x="2617723" y="3393603"/>
                          <a:ext cx="5456555" cy="772795"/>
                        </a:xfrm>
                        <a:custGeom>
                          <a:rect b="b" l="l" r="r" t="t"/>
                          <a:pathLst>
                            <a:path extrusionOk="0" h="772795" w="5456555">
                              <a:moveTo>
                                <a:pt x="0" y="0"/>
                              </a:moveTo>
                              <a:lnTo>
                                <a:pt x="0" y="772795"/>
                              </a:lnTo>
                              <a:lnTo>
                                <a:pt x="5456555" y="772795"/>
                              </a:lnTo>
                              <a:lnTo>
                                <a:pt x="5456555" y="0"/>
                              </a:lnTo>
                              <a:close/>
                            </a:path>
                          </a:pathLst>
                        </a:custGeom>
                        <a:solidFill>
                          <a:srgbClr val="FFFFFF"/>
                        </a:solidFill>
                        <a:ln cap="flat"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Note: </w:t>
                            </w:r>
                            <w:r w:rsidDel="00000000" w:rsidR="00000000" w:rsidRPr="00000000">
                              <w:rPr>
                                <w:rFonts w:ascii="Arial" w:cs="Arial" w:eastAsia="Arial" w:hAnsi="Arial"/>
                                <w:b w:val="0"/>
                                <w:i w:val="0"/>
                                <w:smallCaps w:val="0"/>
                                <w:strike w:val="0"/>
                                <w:color w:val="000000"/>
                                <w:sz w:val="22"/>
                                <w:vertAlign w:val="baseline"/>
                              </w:rPr>
                              <w:t xml:space="preserve">Correction of typographical errors and document formatting are exempt from this process and may be completed by Doc Control Administrator as necessary.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63500</wp:posOffset>
                </wp:positionV>
                <wp:extent cx="5475605" cy="79184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75605" cy="791845"/>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Additions, modifications, and removal of controlled documents are managed utilizing the following procedure and recorded on Document Change Order (DCO) Form.  All introductions, modification, and, removal of controlled documents require the completion, review, and approval of DCO Form.  The information provided in the form is utilized during the approval process to ensure the changes are necessary, justified, and associated risks are mitigated.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1-4 – General Information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sections provide the general information and identification of the document change order.  Each section shall be completed by the Doc Author as indicated by the form.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Document Change Orders is given a unique identification number by Doc Control Admin utilizing three letters and a consecutive four digit numbering scheme separated by a dash (DCO-####).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5-6 – Product Disposition and Disposition Details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Disposition section specifies if the changes will affect product and how to incorporate the change, if applicable.  Disposition Detail is required if Product Disposition is applicable.  The details shall include information to substantiate the product disposition and a plan to implement change with effectiveness checks as necessary.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7 – Description of Change(s) and Justification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provides the basis for the change order and describes what changes are being made, why the change is necessary, and technical rationale for the change.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8 – Impact Assessment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specifies any impacts the changes may have on the Quality Management System.  The following potential impacts shall be assessed:</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requirements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or Re-validation of products or processes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notification requirements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systems that make up the Quality Management System</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safety, and/or efficacy of the associated medical devices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applicable regulatory requirements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impacts as applicable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9 – Approvals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approval section provides documented evidence that the appropriate departments have reviewed and agreed with the changes that are being proposed.  The Document Approval Matrix is contained in Attachment 1; however, additional approvals may be required by Quality Management depending on the severity of the change and associated risk.</w:t>
      </w:r>
    </w:p>
    <w:p w:rsidR="00000000" w:rsidDel="00000000" w:rsidP="00000000" w:rsidRDefault="00000000" w:rsidRPr="00000000" w14:paraId="0000004F">
      <w:pPr>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0">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new documents and changes to existing documents require a copy of associated document to circulate with the DCO Form during the review and approval process.  All changes to existing documents shall have the changes clearly identified on the associated document.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10 – Effective Date and Final Release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to be completed by Doc Control Administrator only.  Upon review and verification of completion, Doc Control Admin will give the changes an effective date and release the associated document changes into the active library.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Document Submission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documents are introduced into Document Control Library by the document author submitting physical and electronic copies of the new document, in the appropriate format established by the document templates, with an approved DCO to the Doc Control Admin.  The Doc Control Admin will verify the submission, designate the effective date, and entered the document into the active library.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Revisions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existing documents are made utilizing the document revision process.  The document author shall submit physical and electronic copies of the modified document with an approved DCO to Quality Department.  The modified documents shall have all changes clearly identified.  The Doc Control Admin will verify the submission and designate the effective date.  The new revision will then be entered the document into the active library; the previous revision will be removed and stored in accordance with the Record Retention Policy.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Obsolete Document Removal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Obsolete documents are removed from Document Control by submitting a completed and approved Document Change Order.  Once received the Doc Control Admin will remove the document from the active library and store in accordance with the Record Retention Policy.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Availability and Distribution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Control maintains both electronic and physical copies of all controlled documentation.  All employees have access to electronic copies of controlled documents.  Printed documents are not considered controlled and are for reference only.  Forms shall be printed from electronic master files and utilized in accordance with the appropriate procedures.</w:t>
      </w:r>
    </w:p>
    <w:p w:rsidR="00000000" w:rsidDel="00000000" w:rsidP="00000000" w:rsidRDefault="00000000" w:rsidRPr="00000000" w14:paraId="00000065">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Documentation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documents associated with the Quality Management System may be incorporated into the Document Control Database at the discretion of Quality Management.  Personnel outside of Quality shall submit a formal request for inclusion of external documents by submitting a completed Document Change Order (CHO) Form.  Examples of external documents include, but are not limited to the following:</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Standards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Regulatory Guidance Documents (FDA, MEDDEV, Health Canada, etc)</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Standards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Papers for External Sources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4"/>
        <w:gridCol w:w="1084"/>
        <w:gridCol w:w="1070"/>
        <w:gridCol w:w="1146"/>
        <w:gridCol w:w="5632"/>
        <w:tblGridChange w:id="0">
          <w:tblGrid>
            <w:gridCol w:w="824"/>
            <w:gridCol w:w="1084"/>
            <w:gridCol w:w="1070"/>
            <w:gridCol w:w="1146"/>
            <w:gridCol w:w="5632"/>
          </w:tblGrid>
        </w:tblGridChange>
      </w:tblGrid>
      <w:tr>
        <w:trPr>
          <w:cantSplit w:val="0"/>
          <w:tblHeader w:val="0"/>
        </w:trPr>
        <w:tc>
          <w:tcPr>
            <w:shd w:fill="bfbfbf" w:val="clear"/>
          </w:tcPr>
          <w:p w:rsidR="00000000" w:rsidDel="00000000" w:rsidP="00000000" w:rsidRDefault="00000000" w:rsidRPr="00000000" w14:paraId="00000071">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bfbfbf" w:val="clear"/>
          </w:tcPr>
          <w:p w:rsidR="00000000" w:rsidDel="00000000" w:rsidP="00000000" w:rsidRDefault="00000000" w:rsidRPr="00000000" w14:paraId="00000072">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bfbfbf" w:val="clear"/>
          </w:tcPr>
          <w:p w:rsidR="00000000" w:rsidDel="00000000" w:rsidP="00000000" w:rsidRDefault="00000000" w:rsidRPr="00000000" w14:paraId="00000073">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bfbfbf" w:val="clear"/>
          </w:tcPr>
          <w:p w:rsidR="00000000" w:rsidDel="00000000" w:rsidP="00000000" w:rsidRDefault="00000000" w:rsidRPr="00000000" w14:paraId="0000007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bfbfbf" w:val="clear"/>
          </w:tcPr>
          <w:p w:rsidR="00000000" w:rsidDel="00000000" w:rsidP="00000000" w:rsidRDefault="00000000" w:rsidRPr="00000000" w14:paraId="0000007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vAlign w:val="center"/>
          </w:tcPr>
          <w:p w:rsidR="00000000" w:rsidDel="00000000" w:rsidP="00000000" w:rsidRDefault="00000000" w:rsidRPr="00000000" w14:paraId="00000076">
            <w:pPr>
              <w:spacing w:after="60" w:before="6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77">
            <w:pPr>
              <w:spacing w:after="60" w:before="6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QP-0003</w:t>
            </w:r>
          </w:p>
        </w:tc>
        <w:tc>
          <w:tcPr>
            <w:vAlign w:val="center"/>
          </w:tcPr>
          <w:p w:rsidR="00000000" w:rsidDel="00000000" w:rsidP="00000000" w:rsidRDefault="00000000" w:rsidRPr="00000000" w14:paraId="00000078">
            <w:pPr>
              <w:spacing w:after="60" w:before="6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79">
            <w:pPr>
              <w:spacing w:after="60" w:before="6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7A">
            <w:pPr>
              <w:spacing w:after="60" w:before="6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Document Control Process</w:t>
            </w:r>
          </w:p>
        </w:tc>
      </w:tr>
    </w:tbl>
    <w:p w:rsidR="00000000" w:rsidDel="00000000" w:rsidP="00000000" w:rsidRDefault="00000000" w:rsidRPr="00000000" w14:paraId="0000007B">
      <w:pPr>
        <w:rPr>
          <w:rFonts w:ascii="Arial" w:cs="Arial" w:eastAsia="Arial" w:hAnsi="Arial"/>
          <w:sz w:val="6"/>
          <w:szCs w:val="6"/>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Attachment 1 – Document Control Approval Matrix.</w:t>
      </w:r>
    </w:p>
    <w:p w:rsidR="00000000" w:rsidDel="00000000" w:rsidP="00000000" w:rsidRDefault="00000000" w:rsidRPr="00000000" w14:paraId="0000007E">
      <w:pPr>
        <w:rPr>
          <w:rFonts w:ascii="Arial" w:cs="Arial" w:eastAsia="Arial" w:hAnsi="Arial"/>
          <w:b w:val="1"/>
          <w:sz w:val="22"/>
          <w:szCs w:val="22"/>
        </w:rPr>
      </w:pPr>
      <w:r w:rsidDel="00000000" w:rsidR="00000000" w:rsidRPr="00000000">
        <w:rPr>
          <w:rtl w:val="0"/>
        </w:rPr>
      </w:r>
    </w:p>
    <w:tbl>
      <w:tblPr>
        <w:tblStyle w:val="Table2"/>
        <w:tblW w:w="9445.0" w:type="dxa"/>
        <w:jc w:val="left"/>
        <w:tblInd w:w="113.0" w:type="dxa"/>
        <w:tblLayout w:type="fixed"/>
        <w:tblLook w:val="0400"/>
      </w:tblPr>
      <w:tblGrid>
        <w:gridCol w:w="2016"/>
        <w:gridCol w:w="1759"/>
        <w:gridCol w:w="1723"/>
        <w:gridCol w:w="1777"/>
        <w:gridCol w:w="2170"/>
        <w:tblGridChange w:id="0">
          <w:tblGrid>
            <w:gridCol w:w="2016"/>
            <w:gridCol w:w="1759"/>
            <w:gridCol w:w="1723"/>
            <w:gridCol w:w="1777"/>
            <w:gridCol w:w="217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F">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Department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80">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Quality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81">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Design and Development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82">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Manufacturing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83">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Marketing and Sales</w:t>
            </w: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4">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Quality Procedure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6">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7">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8">
            <w:pPr>
              <w:rPr>
                <w:rFonts w:ascii="Arial Narrow" w:cs="Arial Narrow" w:eastAsia="Arial Narrow" w:hAnsi="Arial Narrow"/>
                <w:color w:val="000000"/>
              </w:rPr>
            </w:pPr>
            <w:r w:rsidDel="00000000" w:rsidR="00000000" w:rsidRPr="00000000">
              <w:rPr>
                <w:rtl w:val="0"/>
              </w:rPr>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9">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Development Report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rPr>
                <w:rFonts w:ascii="Arial Narrow" w:cs="Arial Narrow" w:eastAsia="Arial Narrow" w:hAnsi="Arial Narrow"/>
                <w:color w:val="000000"/>
              </w:rPr>
            </w:pPr>
            <w:r w:rsidDel="00000000" w:rsidR="00000000" w:rsidRPr="00000000">
              <w:rPr>
                <w:rtl w:val="0"/>
              </w:rPr>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E">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Standard Operating Procedure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F">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rPr>
                <w:rFonts w:ascii="Arial Narrow" w:cs="Arial Narrow" w:eastAsia="Arial Narrow" w:hAnsi="Arial Narrow"/>
                <w:color w:val="000000"/>
              </w:rPr>
            </w:pPr>
            <w:r w:rsidDel="00000000" w:rsidR="00000000" w:rsidRPr="00000000">
              <w:rPr>
                <w:rtl w:val="0"/>
              </w:rPr>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3">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Work Instruction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rPr>
                <w:rFonts w:ascii="Arial Narrow" w:cs="Arial Narrow" w:eastAsia="Arial Narrow" w:hAnsi="Arial Narrow"/>
                <w:color w:val="000000"/>
              </w:rPr>
            </w:pPr>
            <w:r w:rsidDel="00000000" w:rsidR="00000000" w:rsidRPr="00000000">
              <w:rPr>
                <w:rtl w:val="0"/>
              </w:rPr>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8">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Material Specification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C">
            <w:pPr>
              <w:rPr>
                <w:rFonts w:ascii="Arial Narrow" w:cs="Arial Narrow" w:eastAsia="Arial Narrow" w:hAnsi="Arial Narrow"/>
                <w:color w:val="000000"/>
              </w:rPr>
            </w:pPr>
            <w:r w:rsidDel="00000000" w:rsidR="00000000" w:rsidRPr="00000000">
              <w:rPr>
                <w:rtl w:val="0"/>
              </w:rPr>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D">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Product Specification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br w:type="textWrapping"/>
              <w:t xml:space="preserve">Operations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rPr>
                <w:rFonts w:ascii="Arial Narrow" w:cs="Arial Narrow" w:eastAsia="Arial Narrow" w:hAnsi="Arial Narrow"/>
                <w:color w:val="000000"/>
              </w:rPr>
            </w:pPr>
            <w:r w:rsidDel="00000000" w:rsidR="00000000" w:rsidRPr="00000000">
              <w:rPr>
                <w:rtl w:val="0"/>
              </w:rPr>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2">
            <w:pP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2"/>
                <w:szCs w:val="22"/>
                <w:rtl w:val="0"/>
              </w:rPr>
              <w:t xml:space="preserve">Labeling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rPr>
                <w:rFonts w:ascii="Arial Narrow" w:cs="Arial Narrow" w:eastAsia="Arial Narrow" w:hAnsi="Arial Narrow"/>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Quality Assurance</w:t>
              <w:br w:type="textWrapping"/>
              <w:t xml:space="preserve">Engineering </w:t>
            </w:r>
            <w:r w:rsidDel="00000000" w:rsidR="00000000" w:rsidRPr="00000000">
              <w:rPr>
                <w:rtl w:val="0"/>
              </w:rPr>
            </w:r>
          </w:p>
          <w:p w:rsidR="00000000" w:rsidDel="00000000" w:rsidP="00000000" w:rsidRDefault="00000000" w:rsidRPr="00000000" w14:paraId="000000A7">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Operations</w:t>
              <w:br w:type="textWrapping"/>
              <w:t xml:space="preserve">Sales and Marketing</w:t>
            </w:r>
            <w:r w:rsidDel="00000000" w:rsidR="00000000" w:rsidRPr="00000000">
              <w:rPr>
                <w:rtl w:val="0"/>
              </w:rPr>
            </w:r>
          </w:p>
        </w:tc>
      </w:tr>
    </w:tbl>
    <w:p w:rsidR="00000000" w:rsidDel="00000000" w:rsidP="00000000" w:rsidRDefault="00000000" w:rsidRPr="00000000" w14:paraId="000000A8">
      <w:pPr>
        <w:rPr>
          <w:rFonts w:ascii="Arial" w:cs="Arial" w:eastAsia="Arial" w:hAnsi="Arial"/>
          <w:b w:val="1"/>
          <w:sz w:val="22"/>
          <w:szCs w:val="22"/>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26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bl>
    <w:tblPr>
      <w:tblStyle w:val="Table3"/>
      <w:tblW w:w="9795.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5"/>
      <w:gridCol w:w="2070"/>
      <w:gridCol w:w="1425"/>
      <w:gridCol w:w="1155"/>
      <w:tblGridChange w:id="0">
        <w:tblGrid>
          <w:gridCol w:w="2790"/>
          <w:gridCol w:w="2355"/>
          <w:gridCol w:w="2070"/>
          <w:gridCol w:w="1425"/>
          <w:gridCol w:w="1155"/>
        </w:tblGrid>
      </w:tblGridChange>
    </w:tblGrid>
    <w:tr>
      <w:trPr>
        <w:cantSplit w:val="0"/>
        <w:trHeight w:val="890" w:hRule="atLeast"/>
        <w:tblHeader w:val="0"/>
      </w:trPr>
      <w:tc>
        <w:tcPr>
          <w:vMerge w:val="restart"/>
        </w:tcPr>
        <w:p w:rsidR="00000000" w:rsidDel="00000000" w:rsidP="00000000" w:rsidRDefault="00000000" w:rsidRPr="00000000" w14:paraId="000000AA">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4"/>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rHeight w:val="3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AD">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Document Control Process</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QP-0003</w:t>
          </w:r>
        </w:p>
      </w:tc>
      <w:tc>
        <w:tcPr>
          <w:gridSpan w:val="2"/>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62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BodyText">
    <w:name w:val="Body Text"/>
    <w:basedOn w:val="Normal"/>
    <w:link w:val="BodyTextChar"/>
    <w:semiHidden w:val="1"/>
    <w:unhideWhenUsed w:val="1"/>
    <w:rsid w:val="00E23895"/>
    <w:pPr>
      <w:spacing w:after="60"/>
      <w:ind w:left="547"/>
    </w:pPr>
    <w:rPr>
      <w:rFonts w:ascii="Arial" w:cs="Arial" w:hAnsi="Arial"/>
    </w:rPr>
  </w:style>
  <w:style w:type="character" w:styleId="BodyTextChar" w:customStyle="1">
    <w:name w:val="Body Text Char"/>
    <w:basedOn w:val="DefaultParagraphFont"/>
    <w:link w:val="BodyText"/>
    <w:semiHidden w:val="1"/>
    <w:rsid w:val="00E23895"/>
    <w:rPr>
      <w:rFonts w:ascii="Arial" w:cs="Arial" w:eastAsia="Times New Roman"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2GNsJksOiDO8gE+laF+sebGrA==">AMUW2mW4E+HBfx661OZ8fOkxXRmHaWBBXW0tC5H8MrzSqfq67dkoOHWdKXC7npHwUX9iya+sW8RuowK0IFbfj6UT16okph/akXo1l3wvZg1ncjlg6LtwAlmYRYOQghLpdWJ4K30EMJ8K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2013-07-25T13:34:00Z</dcterms:created>
</cp:coreProperties>
</file>