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the measurement, monitoring, and data analysis of manufacturing processes and the quality management system.    These policies and procedures include management review, required areas of analysis, and analysis tools.</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the processes utilized in the design, manufacturing, and distribution of medical devices and quality management systems.  </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monitoring, measurement, and data analysis of the quality management system.  Quality Management is responsible for the implementation and continued compliance with the procedures specified in this document and by the regulatory authorities.</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personnel shall be trained on this process and records maintained.</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Management Review records shall be maintained by the Quality Department.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2">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3">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4">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5">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6">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Management Review</w:t>
      </w:r>
    </w:p>
    <w:p w:rsidR="00000000" w:rsidDel="00000000" w:rsidP="00000000" w:rsidRDefault="00000000" w:rsidRPr="00000000" w14:paraId="0000001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the data analysis from the required areas shall be reviewed by management and necessary actions taken to address trends or the suitability and effectiveness of the quality management system.  Records of the data analysis shall be submitted and maintained by the Quality Department.</w:t>
      </w:r>
    </w:p>
    <w:p w:rsidR="00000000" w:rsidDel="00000000" w:rsidP="00000000" w:rsidRDefault="00000000" w:rsidRPr="00000000" w14:paraId="0000001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 and Scheduling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reviews are scheduled at least annually and are intended to provide organization management with an overview of the business and quality system performance.  Management shall be scheduled in advance and participant provided with an agenda for the review.  The following business functional management (or a representative) are required, occasional absence is acceptable:</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and Regulatory</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and Marketing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Topics for Review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items shall be incorporated into the scope of the management review.  Additional items can be added as necessary.</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minutes from previous management review</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of Analysis list in Section 5.1</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Corrective and Preventive Actions</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Post-Market Surveillance Data and Impacts to Clinical Evaluations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Results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 for Improvement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the QMS (Quality Policy, Objectives, Resources, etc)</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512"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Applicable Regulations (FDA, MDD, CMDCAS, ISO, etc)</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 Items and Meeting Minutes</w:t>
      </w:r>
    </w:p>
    <w:p w:rsidR="00000000" w:rsidDel="00000000" w:rsidP="00000000" w:rsidRDefault="00000000" w:rsidRPr="00000000" w14:paraId="00000032">
      <w:pPr>
        <w:ind w:left="360"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3">
      <w:pPr>
        <w:ind w:left="81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Following the Management Review, a Quality representative shall circulate meeting minutes including agreed upon action items and obtain approval for the functional management that the Quality Management System has been determined to be effective.  </w:t>
      </w:r>
    </w:p>
    <w:p w:rsidR="00000000" w:rsidDel="00000000" w:rsidP="00000000" w:rsidRDefault="00000000" w:rsidRPr="00000000" w14:paraId="00000034">
      <w:pPr>
        <w:ind w:left="360"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5">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Analysis Procedure</w:t>
      </w:r>
    </w:p>
    <w:p w:rsidR="00000000" w:rsidDel="00000000" w:rsidP="00000000" w:rsidRDefault="00000000" w:rsidRPr="00000000" w14:paraId="0000003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of data is utilized to demonstrate the suitability and effectiveness of the quality management system.  If the analysis of data shows the quality management system is not suitable, adequate, or effective; appropriate corrections and corrective actions shall be taken.  The results of data analysis are reviewed during the Management Reviews.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Required Areas of Analysis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areas require monitoring, measurement, and analysis of data:</w:t>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12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Feedback and Customer Satisfaction</w:t>
      </w:r>
    </w:p>
    <w:p w:rsidR="00000000" w:rsidDel="00000000" w:rsidP="00000000" w:rsidRDefault="00000000" w:rsidRPr="00000000" w14:paraId="0000003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Conformity to Product Requirements</w:t>
      </w:r>
    </w:p>
    <w:p w:rsidR="00000000" w:rsidDel="00000000" w:rsidP="00000000" w:rsidRDefault="00000000" w:rsidRPr="00000000" w14:paraId="0000003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and/or Manufacturing Processes</w:t>
      </w:r>
    </w:p>
    <w:p w:rsidR="00000000" w:rsidDel="00000000" w:rsidP="00000000" w:rsidRDefault="00000000" w:rsidRPr="00000000" w14:paraId="0000004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Suppliers</w:t>
      </w:r>
    </w:p>
    <w:p w:rsidR="00000000" w:rsidDel="00000000" w:rsidP="00000000" w:rsidRDefault="00000000" w:rsidRPr="00000000" w14:paraId="00000041">
      <w:pPr>
        <w:spacing w:before="120" w:lineRule="auto"/>
        <w:ind w:left="936"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Additional areas may be identified as necessary to ensure conformity and maintain the effectiveness of the quality management system.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Tools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utilized for monitoring, measurement, and analysis are specific to the process or system being monitored. The following are examples of tools which may be used:</w:t>
      </w:r>
    </w:p>
    <w:p w:rsidR="00000000" w:rsidDel="00000000" w:rsidP="00000000" w:rsidRDefault="00000000" w:rsidRPr="00000000" w14:paraId="0000004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12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Charts</w:t>
      </w:r>
    </w:p>
    <w:p w:rsidR="00000000" w:rsidDel="00000000" w:rsidP="00000000" w:rsidRDefault="00000000" w:rsidRPr="00000000" w14:paraId="0000004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Pareto Charts</w:t>
      </w:r>
    </w:p>
    <w:p w:rsidR="00000000" w:rsidDel="00000000" w:rsidP="00000000" w:rsidRDefault="00000000" w:rsidRPr="00000000" w14:paraId="0000004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Charts</w:t>
      </w:r>
    </w:p>
    <w:p w:rsidR="00000000" w:rsidDel="00000000" w:rsidP="00000000" w:rsidRDefault="00000000" w:rsidRPr="00000000" w14:paraId="0000004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Sheets</w:t>
      </w:r>
    </w:p>
    <w:p w:rsidR="00000000" w:rsidDel="00000000" w:rsidP="00000000" w:rsidRDefault="00000000" w:rsidRPr="00000000" w14:paraId="0000004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440" w:right="0" w:hanging="50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Histograms</w:t>
      </w:r>
    </w:p>
    <w:p w:rsidR="00000000" w:rsidDel="00000000" w:rsidP="00000000" w:rsidRDefault="00000000" w:rsidRPr="00000000" w14:paraId="0000004B">
      <w:pPr>
        <w:tabs>
          <w:tab w:val="left" w:pos="5580"/>
        </w:tabs>
        <w:spacing w:after="200"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ab/>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1"/>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907"/>
        <w:gridCol w:w="1620"/>
        <w:gridCol w:w="1080"/>
        <w:gridCol w:w="5400"/>
        <w:tblGridChange w:id="0">
          <w:tblGrid>
            <w:gridCol w:w="821"/>
            <w:gridCol w:w="907"/>
            <w:gridCol w:w="1620"/>
            <w:gridCol w:w="1080"/>
            <w:gridCol w:w="5400"/>
          </w:tblGrid>
        </w:tblGridChange>
      </w:tblGrid>
      <w:tr>
        <w:trPr>
          <w:cantSplit w:val="0"/>
          <w:tblHeader w:val="0"/>
        </w:trPr>
        <w:tc>
          <w:tcPr>
            <w:shd w:fill="d9d9d9" w:val="clear"/>
          </w:tcPr>
          <w:p w:rsidR="00000000" w:rsidDel="00000000" w:rsidP="00000000" w:rsidRDefault="00000000" w:rsidRPr="00000000" w14:paraId="0000004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4F">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5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51">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52">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vAlign w:val="center"/>
          </w:tcPr>
          <w:p w:rsidR="00000000" w:rsidDel="00000000" w:rsidP="00000000" w:rsidRDefault="00000000" w:rsidRPr="00000000" w14:paraId="00000053">
            <w:pPr>
              <w:spacing w:after="60" w:before="6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vAlign w:val="center"/>
          </w:tcPr>
          <w:p w:rsidR="00000000" w:rsidDel="00000000" w:rsidP="00000000" w:rsidRDefault="00000000" w:rsidRPr="00000000" w14:paraId="00000054">
            <w:pPr>
              <w:spacing w:after="60" w:before="6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QP-0013</w:t>
            </w:r>
          </w:p>
        </w:tc>
        <w:tc>
          <w:tcPr>
            <w:vAlign w:val="center"/>
          </w:tcPr>
          <w:p w:rsidR="00000000" w:rsidDel="00000000" w:rsidP="00000000" w:rsidRDefault="00000000" w:rsidRPr="00000000" w14:paraId="00000055">
            <w:pPr>
              <w:spacing w:after="60" w:before="60" w:lineRule="auto"/>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56">
            <w:pPr>
              <w:spacing w:after="60" w:before="6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57">
            <w:pPr>
              <w:spacing w:after="60" w:before="6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Management Review and Data Analysis Process.</w:t>
            </w:r>
          </w:p>
        </w:tc>
      </w:tr>
    </w:tbl>
    <w:p w:rsidR="00000000" w:rsidDel="00000000" w:rsidP="00000000" w:rsidRDefault="00000000" w:rsidRPr="00000000" w14:paraId="00000058">
      <w:pPr>
        <w:spacing w:after="200" w:line="276" w:lineRule="auto"/>
        <w:rPr>
          <w:rFonts w:ascii="Arial" w:cs="Arial" w:eastAsia="Arial" w:hAnsi="Arial"/>
          <w:b w:val="1"/>
          <w:color w:val="000000"/>
          <w:sz w:val="4"/>
          <w:szCs w:val="4"/>
        </w:rPr>
      </w:pPr>
      <w:r w:rsidDel="00000000" w:rsidR="00000000" w:rsidRPr="00000000">
        <w:rPr>
          <w:rtl w:val="0"/>
        </w:rPr>
      </w:r>
    </w:p>
    <w:p w:rsidR="00000000" w:rsidDel="00000000" w:rsidP="00000000" w:rsidRDefault="00000000" w:rsidRPr="00000000" w14:paraId="00000059">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5A">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5B">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5C">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5D">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5E">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5F">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60">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61">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62">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63">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64">
      <w:pPr>
        <w:rPr>
          <w:rFonts w:ascii="Arial" w:cs="Arial" w:eastAsia="Arial" w:hAnsi="Arial"/>
          <w:sz w:val="4"/>
          <w:szCs w:val="4"/>
        </w:rPr>
      </w:pPr>
      <w:r w:rsidDel="00000000" w:rsidR="00000000" w:rsidRPr="00000000">
        <w:rPr>
          <w:rtl w:val="0"/>
        </w:rPr>
      </w:r>
    </w:p>
    <w:p w:rsidR="00000000" w:rsidDel="00000000" w:rsidP="00000000" w:rsidRDefault="00000000" w:rsidRPr="00000000" w14:paraId="00000065">
      <w:pPr>
        <w:tabs>
          <w:tab w:val="left" w:pos="2535"/>
        </w:tabs>
        <w:rPr>
          <w:rFonts w:ascii="Arial" w:cs="Arial" w:eastAsia="Arial" w:hAnsi="Arial"/>
          <w:sz w:val="4"/>
          <w:szCs w:val="4"/>
        </w:rPr>
      </w:pPr>
      <w:r w:rsidDel="00000000" w:rsidR="00000000" w:rsidRPr="00000000">
        <w:rPr>
          <w:rFonts w:ascii="Arial" w:cs="Arial" w:eastAsia="Arial" w:hAnsi="Arial"/>
          <w:sz w:val="4"/>
          <w:szCs w:val="4"/>
          <w:rtl w:val="0"/>
        </w:rPr>
        <w:tab/>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560"/>
        <w:tab w:val="left" w:pos="8010"/>
        <w:tab w:val="left" w:pos="8640"/>
        <w:tab w:val="left" w:pos="9000"/>
      </w:tabs>
      <w:spacing w:after="0" w:before="0" w:line="240" w:lineRule="auto"/>
      <w:ind w:left="0" w:right="-9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560"/>
        <w:tab w:val="left" w:pos="8010"/>
        <w:tab w:val="left" w:pos="8640"/>
        <w:tab w:val="left" w:pos="9000"/>
      </w:tabs>
      <w:spacing w:after="0" w:before="0" w:line="240" w:lineRule="auto"/>
      <w:ind w:left="0" w:right="-9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Last printed 2/21/2020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4"/>
        <w:szCs w:val="4"/>
      </w:rPr>
    </w:pPr>
    <w:r w:rsidDel="00000000" w:rsidR="00000000" w:rsidRPr="00000000">
      <w:rPr>
        <w:rtl w:val="0"/>
      </w:rPr>
    </w:r>
  </w:p>
  <w:tbl>
    <w:tblPr>
      <w:tblStyle w:val="Table2"/>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67">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6A">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Management Review and Data Analysis Process</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QP-0013</w:t>
          </w:r>
        </w:p>
      </w:tc>
      <w:tc>
        <w:tcPr>
          <w:gridSpan w:val="2"/>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1"/>
      <w:numFmt w:val="bullet"/>
      <w:lvlText w:val="•"/>
      <w:lvlJc w:val="left"/>
      <w:pPr>
        <w:ind w:left="1512" w:hanging="360"/>
      </w:pPr>
      <w:rPr>
        <w:rFonts w:ascii="Arial" w:cs="Arial" w:eastAsia="Arial" w:hAnsi="Arial"/>
        <w:b w:val="1"/>
        <w:i w:val="0"/>
        <w:sz w:val="24"/>
        <w:szCs w:val="24"/>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3">
    <w:lvl w:ilvl="0">
      <w:start w:val="1"/>
      <w:numFmt w:val="bullet"/>
      <w:lvlText w:val="•"/>
      <w:lvlJc w:val="left"/>
      <w:pPr>
        <w:ind w:left="1512" w:hanging="360"/>
      </w:pPr>
      <w:rPr>
        <w:rFonts w:ascii="Arial" w:cs="Arial" w:eastAsia="Arial" w:hAnsi="Arial"/>
        <w:b w:val="1"/>
        <w:i w:val="0"/>
        <w:sz w:val="24"/>
        <w:szCs w:val="24"/>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4">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5">
    <w:lvl w:ilvl="0">
      <w:start w:val="1"/>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abstractNum w:abstractNumId="6">
    <w:lvl w:ilvl="0">
      <w:start w:val="1"/>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530741"/>
    <w:pPr>
      <w:ind w:left="360"/>
    </w:pPr>
    <w:rPr>
      <w:lang w:eastAsia="nl-NL"/>
    </w:rPr>
  </w:style>
  <w:style w:type="character" w:styleId="BodyTextIndentChar" w:customStyle="1">
    <w:name w:val="Body Text Indent Char"/>
    <w:basedOn w:val="DefaultParagraphFont"/>
    <w:link w:val="BodyTextIndent"/>
    <w:rsid w:val="00530741"/>
    <w:rPr>
      <w:rFonts w:ascii="Times New Roman" w:cs="Times New Roman" w:eastAsia="Times New Roman" w:hAnsi="Times New Roman"/>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JgEZj3hNQOhjxqZ7EfkcLgq2w==">AMUW2mXPpcksTJF5cNxEEBdPI56Ge0Vmuu3TiUSXLKoYne0OYEvou+TEOJ/SK7ACEoOHDwso7CbhM1ExUV0h7YlZW+g5gdEtZXkxm0cr8bEQ0udnb8zlfN0qxjuFedcRhtBF+tfukuGN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2013-03-28T19:04:00Z</dcterms:created>
</cp:coreProperties>
</file>