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performing quality audits to ensure the effectiveness of the quality management system and compliance with the applicable regulatory requirements.  These policies and procedures include auditor selection, audit planning, execution, reporting, and closure.</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8">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Quality Management System audits including internal quality audits and supplier quality audits. </w:t>
      </w:r>
    </w:p>
    <w:p w:rsidR="00000000" w:rsidDel="00000000" w:rsidP="00000000" w:rsidRDefault="00000000" w:rsidRPr="00000000" w14:paraId="00000009">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Auditors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Auditors are responsible for executing the following procedures and submitting all records to the Quality Department.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Management is responsible for the planning, execution, and continued compliance with the procedures specified in this document and by the regulatory authorities.</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Internal Auditors shall be trained to the procedures specified in this document.  Auditors shall meet audit qualification requirements listed in this procedure.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Audit records are managed and maintained by the Quality Department.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4">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5">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Medical Device Quality Management Systems</w:t>
      </w:r>
    </w:p>
    <w:p w:rsidR="00000000" w:rsidDel="00000000" w:rsidP="00000000" w:rsidRDefault="00000000" w:rsidRPr="00000000" w14:paraId="00000016">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19011</w:t>
      </w:r>
      <w:r w:rsidDel="00000000" w:rsidR="00000000" w:rsidRPr="00000000">
        <w:rPr>
          <w:rFonts w:ascii="Arial" w:cs="Arial" w:eastAsia="Arial" w:hAnsi="Arial"/>
          <w:sz w:val="22"/>
          <w:szCs w:val="22"/>
          <w:rtl w:val="0"/>
        </w:rPr>
        <w:t xml:space="preserve"> – Guidelines for Auditing Management Systems</w:t>
      </w:r>
    </w:p>
    <w:p w:rsidR="00000000" w:rsidDel="00000000" w:rsidP="00000000" w:rsidRDefault="00000000" w:rsidRPr="00000000" w14:paraId="00000017">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8">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9">
      <w:pPr>
        <w:spacing w:before="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A">
      <w:pPr>
        <w:spacing w:before="60" w:lineRule="auto"/>
        <w:ind w:left="907"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GHTF/SG4/N28R4</w:t>
      </w:r>
      <w:r w:rsidDel="00000000" w:rsidR="00000000" w:rsidRPr="00000000">
        <w:rPr>
          <w:rFonts w:ascii="Arial" w:cs="Arial" w:eastAsia="Arial" w:hAnsi="Arial"/>
          <w:sz w:val="22"/>
          <w:szCs w:val="22"/>
          <w:rtl w:val="0"/>
        </w:rPr>
        <w:t xml:space="preserve"> – Guidelines for Regulatory Auditing of QMS of Medical Device Manufacturers</w:t>
      </w:r>
    </w:p>
    <w:p w:rsidR="00000000" w:rsidDel="00000000" w:rsidP="00000000" w:rsidRDefault="00000000" w:rsidRPr="00000000" w14:paraId="0000001B">
      <w:pPr>
        <w:spacing w:before="60" w:lineRule="auto"/>
        <w:ind w:left="907"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QP-0012</w:t>
      </w:r>
      <w:r w:rsidDel="00000000" w:rsidR="00000000" w:rsidRPr="00000000">
        <w:rPr>
          <w:rFonts w:ascii="Arial" w:cs="Arial" w:eastAsia="Arial" w:hAnsi="Arial"/>
          <w:color w:val="000000"/>
          <w:sz w:val="22"/>
          <w:szCs w:val="22"/>
          <w:rtl w:val="0"/>
        </w:rPr>
        <w:t xml:space="preserve"> – Corrective and Preventive Action (CAPA) Process</w:t>
      </w:r>
      <w:r w:rsidDel="00000000" w:rsidR="00000000" w:rsidRPr="00000000">
        <w:rPr>
          <w:rtl w:val="0"/>
        </w:rPr>
      </w:r>
    </w:p>
    <w:p w:rsidR="00000000" w:rsidDel="00000000" w:rsidP="00000000" w:rsidRDefault="00000000" w:rsidRPr="00000000" w14:paraId="0000001C">
      <w:pPr>
        <w:spacing w:before="60" w:lineRule="auto"/>
        <w:ind w:left="907" w:firstLine="0"/>
        <w:rPr/>
      </w:pPr>
      <w:r w:rsidDel="00000000" w:rsidR="00000000" w:rsidRPr="00000000">
        <w:rPr>
          <w:rFonts w:ascii="Arial" w:cs="Arial" w:eastAsia="Arial" w:hAnsi="Arial"/>
          <w:b w:val="1"/>
          <w:color w:val="000000"/>
          <w:sz w:val="22"/>
          <w:szCs w:val="22"/>
          <w:rtl w:val="0"/>
        </w:rPr>
        <w:t xml:space="preserve">QP-0023</w:t>
      </w:r>
      <w:r w:rsidDel="00000000" w:rsidR="00000000" w:rsidRPr="00000000">
        <w:rPr>
          <w:rFonts w:ascii="Arial" w:cs="Arial" w:eastAsia="Arial" w:hAnsi="Arial"/>
          <w:color w:val="000000"/>
          <w:sz w:val="22"/>
          <w:szCs w:val="22"/>
          <w:rtl w:val="0"/>
        </w:rPr>
        <w:t xml:space="preserve"> – Supplier Management Process</w:t>
      </w:r>
      <w:r w:rsidDel="00000000" w:rsidR="00000000" w:rsidRPr="00000000">
        <w:rPr>
          <w:rtl w:val="0"/>
        </w:rPr>
      </w:r>
    </w:p>
    <w:p w:rsidR="00000000" w:rsidDel="00000000" w:rsidP="00000000" w:rsidRDefault="00000000" w:rsidRPr="00000000" w14:paraId="0000001D">
      <w:pPr>
        <w:spacing w:before="60" w:lineRule="auto"/>
        <w:rPr/>
      </w:pPr>
      <w:r w:rsidDel="00000000" w:rsidR="00000000" w:rsidRPr="00000000">
        <w:rPr>
          <w:rtl w:val="0"/>
        </w:rPr>
      </w:r>
    </w:p>
    <w:p w:rsidR="00000000" w:rsidDel="00000000" w:rsidP="00000000" w:rsidRDefault="00000000" w:rsidRPr="00000000" w14:paraId="0000001E">
      <w:pPr>
        <w:spacing w:before="6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Internal Audit Schedule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audit schedule is developed and maintained by the Quality Department.  The audit schedule shall cover all areas of the quality management system on an annual basis.  The schedule shall include: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81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to be audited with appropriate references to the applicable regulatory requirements (e.g. FDA CFR 21 Part 820, ISO 13485 sub clauses, MDD, etc)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81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Linkage to the associated QMS documentation for regulatory requirements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81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planned month of execution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81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lead auditor and date of audit once completed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Audit Procedure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audit procedures are utilized to ensure that the quality system is in compliance with established quality system requirements and to determine the effectiveness of the Quality Management System.  Selection of auditors and conduct of audits shall ensure objectivity and impartiality of the audit process.  Audits shall be as detailed as necessary to determine the effectiveness of the implemented systems considering the associated risk and importance of the area to be audited.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Auditor Selection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Auditors may be chosen from within any department in the company or utilize third party auditors based on their qualifications and independence from the subject/area to be audited.  Auditors shall not audit their own work.  Auditor qualifications include the following and all records are maintained by the Quality Department: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has completed internal/external auditor training or has previous auditing experience (e.g. previous job, auditor/training certificate)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has knowledge of applicable regulatory requirements (FDA CFR 21 Part 820, ISO 13485, MDD, etc.)</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has participated in all phases of Internal Auditing (planning, execution, reporting, and closure)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has demonstrated auditor competencies to a qualified auditor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Preparation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Audits are scheduled by the lead auditor with the area management during the designated month on the audit schedule.  During the planning stage, the lead auditor shall complete the following items and documents as appropriate:  </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audit objective, scope, applicable regulatory requirements, and participating auditors</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previous audit reports for the subject/area</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all corrective actions from previous audits that require follow-up</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audit plan to participating auditors and auditee representatives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Execution and Report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 audit is initiated by an opening meeting and concluded by a closing meeting.   The following items are completed during the audit and documented on the report:</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Opening Meeting (formal or informal) with auditor(s) and area management to communicate the audit objective and scope  </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of the names/titles of all participating parties and date of the audit</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auditor(s) shall take notes and obtain evidence of auditee’s conformance to the established requirements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objective evidence, checklists, and any other audit material shall be included in the audit report</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of all findings (see following section) along with the statutory requirement with which the area is not compliant</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follow-up to any corrective actions from previous audits.  If found insufficient, a new finding shall be created</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Meeting with the area management to discuss the results of the audit and any findings</w:t>
      </w:r>
    </w:p>
    <w:p w:rsidR="00000000" w:rsidDel="00000000" w:rsidP="00000000" w:rsidRDefault="00000000" w:rsidRPr="00000000" w14:paraId="00000045">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Quality Management shall review the audit report and send the final audit report to auditee representative.  Any audit disputes or issues shall be resolved by Quality Management.  </w:t>
      </w:r>
    </w:p>
    <w:p w:rsidR="00000000" w:rsidDel="00000000" w:rsidP="00000000" w:rsidRDefault="00000000" w:rsidRPr="00000000" w14:paraId="00000046">
      <w:pPr>
        <w:tabs>
          <w:tab w:val="left" w:pos="135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ab/>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Findings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completion of the audit, the auditor shall provide a report of the results to the management responsible for the area/organization audited.  The report shall include all findings (nonconformities or deficiencies) of the audit and any opportunities for improvement. All findings shall reference the QMS/Regulatory requirement that is not fulfilled.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findings are rolled into and managed by the CAPA/SCAR Systems.  Opportunities for improvement do not require corrective actions.  Area management shall review all findings and submit responses including root cause and corrective action plan to the Quality Department for approval within 30 days.  Corrective actions for audit findings are required to be implemented within 90 days.  An extension may be granted at the Quality Management’s discretion with justification.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Closure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corrective actions have been completed, area management shall submit verification of the corrective actions to the auditing body.  Once all corrective actions are approved the audit shall be closed.  Notification of closure shall be communicated to appropriate management.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63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889"/>
        <w:gridCol w:w="1620"/>
        <w:gridCol w:w="1080"/>
        <w:gridCol w:w="5220"/>
        <w:tblGridChange w:id="0">
          <w:tblGrid>
            <w:gridCol w:w="821"/>
            <w:gridCol w:w="889"/>
            <w:gridCol w:w="1620"/>
            <w:gridCol w:w="1080"/>
            <w:gridCol w:w="5220"/>
          </w:tblGrid>
        </w:tblGridChange>
      </w:tblGrid>
      <w:tr>
        <w:trPr>
          <w:cantSplit w:val="0"/>
          <w:tblHeader w:val="0"/>
        </w:trPr>
        <w:tc>
          <w:tcPr>
            <w:shd w:fill="d9d9d9" w:val="clear"/>
          </w:tcPr>
          <w:p w:rsidR="00000000" w:rsidDel="00000000" w:rsidP="00000000" w:rsidRDefault="00000000" w:rsidRPr="00000000" w14:paraId="0000005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5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5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5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5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59">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5A">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QP-0015</w:t>
            </w:r>
          </w:p>
        </w:tc>
        <w:tc>
          <w:tcPr/>
          <w:p w:rsidR="00000000" w:rsidDel="00000000" w:rsidP="00000000" w:rsidRDefault="00000000" w:rsidRPr="00000000" w14:paraId="0000005B">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5C">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5D">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Quality Audit Process</w:t>
            </w:r>
          </w:p>
        </w:tc>
      </w:tr>
    </w:tbl>
    <w:p w:rsidR="00000000" w:rsidDel="00000000" w:rsidP="00000000" w:rsidRDefault="00000000" w:rsidRPr="00000000" w14:paraId="0000005E">
      <w:pPr>
        <w:rPr>
          <w:rFonts w:ascii="Arial" w:cs="Arial" w:eastAsia="Arial" w:hAnsi="Arial"/>
          <w:sz w:val="2"/>
          <w:szCs w:val="2"/>
        </w:rPr>
      </w:pPr>
      <w:r w:rsidDel="00000000" w:rsidR="00000000" w:rsidRPr="00000000">
        <w:rPr>
          <w:rtl w:val="0"/>
        </w:rPr>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60" w:line="240" w:lineRule="auto"/>
      <w:ind w:left="0" w:right="-86"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60" w:line="240" w:lineRule="auto"/>
      <w:ind w:left="0"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
        <w:szCs w:val="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60">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3">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Quality Audit Process</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QP-0015</w:t>
          </w:r>
        </w:p>
      </w:tc>
      <w:tc>
        <w:tcPr>
          <w:gridSpan w:val="2"/>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2">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5">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2F288C"/>
    <w:pPr>
      <w:ind w:left="360"/>
    </w:pPr>
    <w:rPr>
      <w:lang w:eastAsia="nl-NL"/>
    </w:rPr>
  </w:style>
  <w:style w:type="character" w:styleId="BodyTextIndentChar" w:customStyle="1">
    <w:name w:val="Body Text Indent Char"/>
    <w:basedOn w:val="DefaultParagraphFont"/>
    <w:link w:val="BodyTextIndent"/>
    <w:rsid w:val="002F288C"/>
    <w:rPr>
      <w:rFonts w:ascii="Times New Roman" w:cs="Times New Roman" w:eastAsia="Times New Roman" w:hAnsi="Times New Roman"/>
      <w:sz w:val="24"/>
      <w:szCs w:val="24"/>
      <w:lang w:eastAsia="nl-NL"/>
    </w:rPr>
  </w:style>
  <w:style w:type="character" w:styleId="CommentReference">
    <w:name w:val="annotation reference"/>
    <w:basedOn w:val="DefaultParagraphFont"/>
    <w:uiPriority w:val="99"/>
    <w:semiHidden w:val="1"/>
    <w:unhideWhenUsed w:val="1"/>
    <w:rsid w:val="004D3938"/>
    <w:rPr>
      <w:sz w:val="16"/>
      <w:szCs w:val="16"/>
    </w:rPr>
  </w:style>
  <w:style w:type="paragraph" w:styleId="CommentText">
    <w:name w:val="annotation text"/>
    <w:basedOn w:val="Normal"/>
    <w:link w:val="CommentTextChar"/>
    <w:uiPriority w:val="99"/>
    <w:semiHidden w:val="1"/>
    <w:unhideWhenUsed w:val="1"/>
    <w:rsid w:val="004D3938"/>
    <w:rPr>
      <w:sz w:val="20"/>
      <w:szCs w:val="20"/>
    </w:rPr>
  </w:style>
  <w:style w:type="character" w:styleId="CommentTextChar" w:customStyle="1">
    <w:name w:val="Comment Text Char"/>
    <w:basedOn w:val="DefaultParagraphFont"/>
    <w:link w:val="CommentText"/>
    <w:uiPriority w:val="99"/>
    <w:semiHidden w:val="1"/>
    <w:rsid w:val="004D3938"/>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4D3938"/>
    <w:rPr>
      <w:b w:val="1"/>
      <w:bCs w:val="1"/>
    </w:rPr>
  </w:style>
  <w:style w:type="character" w:styleId="CommentSubjectChar" w:customStyle="1">
    <w:name w:val="Comment Subject Char"/>
    <w:basedOn w:val="CommentTextChar"/>
    <w:link w:val="CommentSubject"/>
    <w:uiPriority w:val="99"/>
    <w:semiHidden w:val="1"/>
    <w:rsid w:val="004D3938"/>
    <w:rPr>
      <w:rFonts w:ascii="Times New Roman" w:cs="Times New Roman" w:eastAsia="Times New Roman" w:hAnsi="Times New Roman"/>
      <w:b w:val="1"/>
      <w:bCs w:val="1"/>
      <w:sz w:val="20"/>
      <w:szCs w:val="20"/>
    </w:rPr>
  </w:style>
  <w:style w:type="paragraph" w:styleId="Revision">
    <w:name w:val="Revision"/>
    <w:hidden w:val="1"/>
    <w:uiPriority w:val="99"/>
    <w:semiHidden w:val="1"/>
    <w:rsid w:val="004D3938"/>
    <w:pPr>
      <w:spacing w:after="0"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ia+PTzD2Bllf/4u0yiBKj4v+9A==">AMUW2mWWrHX2ozWJeJDNpvKFX5gx89Jfa6iND+as0vUaxKdG8wYIQ8vLdKVgoRTHAs06cSYLo+B3+JrBeXdP+1nVS8G0wBshPqSshpjpcwxk59q4CeSCznRziTIxUI4pk4gKwngWIUyb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2013-05-01T20:55:00Z</dcterms:created>
</cp:coreProperties>
</file>