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implementing and maintaining unique device identification.  This contains the procedures and requirements for maintaining compliance to the UDI requirements.</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medical devices that are manufactured, labeled, and/or distributed by the company.</w:t>
      </w:r>
    </w:p>
    <w:p w:rsidR="00000000" w:rsidDel="00000000" w:rsidP="00000000" w:rsidRDefault="00000000" w:rsidRPr="00000000" w14:paraId="0000000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p>
    <w:p w:rsidR="00000000" w:rsidDel="00000000" w:rsidP="00000000" w:rsidRDefault="00000000" w:rsidRPr="00000000" w14:paraId="0000000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 Identifier</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EUDAMED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European Union Database on Medical Devices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GMDN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Medical Device Nomenclature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Production Identifier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UDI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Unique Device Identification</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Regulatory Affairs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Regulatory Affairs Management is responsible for ensuring continued compliance with the procedures specified in this document and by the regulatory authorities.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–Regulatory personnel shall be trained to this document based upon their responsibilities.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UDI Records are managed and maintained by the Regulatory Department for a minimum of five (5) years following the last manufacturer of the associated medical device.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7">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FDA CFR 21 Part 830</w:t>
      </w:r>
      <w:r w:rsidDel="00000000" w:rsidR="00000000" w:rsidRPr="00000000">
        <w:rPr>
          <w:rFonts w:ascii="Arial" w:cs="Arial" w:eastAsia="Arial" w:hAnsi="Arial"/>
          <w:sz w:val="22"/>
          <w:szCs w:val="22"/>
          <w:rtl w:val="0"/>
        </w:rPr>
        <w:t xml:space="preserve"> – Unique Device Identification</w:t>
      </w:r>
    </w:p>
    <w:p w:rsidR="00000000" w:rsidDel="00000000" w:rsidP="00000000" w:rsidRDefault="00000000" w:rsidRPr="00000000" w14:paraId="00000018">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FDA Guidance </w:t>
      </w:r>
      <w:r w:rsidDel="00000000" w:rsidR="00000000" w:rsidRPr="00000000">
        <w:rPr>
          <w:rFonts w:ascii="Arial" w:cs="Arial" w:eastAsia="Arial" w:hAnsi="Arial"/>
          <w:sz w:val="22"/>
          <w:szCs w:val="22"/>
          <w:rtl w:val="0"/>
        </w:rPr>
        <w:t xml:space="preserve">– Global Unique Device Identification Database (GUDID)</w:t>
      </w:r>
    </w:p>
    <w:p w:rsidR="00000000" w:rsidDel="00000000" w:rsidP="00000000" w:rsidRDefault="00000000" w:rsidRPr="00000000" w14:paraId="00000019">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A">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B">
      <w:pPr>
        <w:spacing w:before="60" w:lineRule="auto"/>
        <w:ind w:left="90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ISO/IEC 15417 – </w:t>
      </w:r>
      <w:r w:rsidDel="00000000" w:rsidR="00000000" w:rsidRPr="00000000">
        <w:rPr>
          <w:rFonts w:ascii="Arial" w:cs="Arial" w:eastAsia="Arial" w:hAnsi="Arial"/>
          <w:sz w:val="22"/>
          <w:szCs w:val="22"/>
          <w:rtl w:val="0"/>
        </w:rPr>
        <w:t xml:space="preserve">Information Technology – Automatic Identification and Data Capture Techniques – Code 128 Bar Code Symbology Specification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Unique Device Identification (UDI) Procedure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UDI Issuing Agency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utilizes an accredited issuing agency to establish a unique company code for UDI.  The company has registered with this agency and obtained an appropriate company code to identify all products produced and distributed.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UDI Components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Unique Device Identification system utilized includes two components:  the Device Identifier and the Production Identifier.  When incorporated into barcode format, these may be separated into two barcodes or concatenated into a single barcode.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6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Device Identifier (DI)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Identifier identifies the specific device or device family that is produced by the company and contains the following components: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Code</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Code or Reference Code</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of Measure (Packaging Configuration identifier)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6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Production Identifier (PI)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Production Identifier identifies the specific production lot from which the product was manufactured.  The PI contains all the following information that appears on the product label.  Examples include, but are not limited 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 or Batch Number</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 Number</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Expiration Date</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Manufacturing Date</w:t>
      </w:r>
    </w:p>
    <w:p w:rsidR="00000000" w:rsidDel="00000000" w:rsidP="00000000" w:rsidRDefault="00000000" w:rsidRPr="00000000" w14:paraId="00000038">
      <w:pPr>
        <w:ind w:left="19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Barcodes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utilizes the following specifications to ensure proper readability of barcodes on distributed products: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128 Symbology</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Readability Version below Barcode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Print Quality of C/06/660</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X-dimension of 0.010 inch (0.25mm) at print quality of C/06/660</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X-dimension of 0.0067 inches (0.17mm) at print quality of B/06/660 or better</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Barcode Height = 5mm or 15% of Total Width of Barcode</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barcode contains a Unit of Measure from 0 to 9 (0 – Individual Product, 1 – Smallest Container of Individual Products, etc.)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Global Unique Device Identification Database (GUDID) and European Database on Medical Device (EUDAMED)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360"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The company has established and maintains a GUDID account with the FDA and EUDAMED  account (when operational) with the EU for applicable products.  The Regulatory Affairs has the following responsibilities associated with these accounts:</w:t>
      </w:r>
    </w:p>
    <w:p w:rsidR="00000000" w:rsidDel="00000000" w:rsidP="00000000" w:rsidRDefault="00000000" w:rsidRPr="00000000" w14:paraId="0000004A">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the information submitted to the accounts is accurate and up-to-date.  </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Establishing a Regulatory Contact</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Assigning Labelers, Coordinators, and Data Entry Users as necessary.</w:t>
      </w:r>
    </w:p>
    <w:p w:rsidR="00000000" w:rsidDel="00000000" w:rsidP="00000000" w:rsidRDefault="00000000" w:rsidRPr="00000000" w14:paraId="0000004E">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Identifier for each medical device that is distributed in the USA is listed in the GUDID.  The DI for each medical device with a CE Mark is listed in the EUDAMED.  Only the DI is listed; the Production Identifier is not listed in the GUDID.  The Device Identifier shall contain the smallest Unit of Measure associated with the product.  The DI is maintained throughout the product life cycle.  Once a product life cycle is ended, the Discontinue Date is entered into the system.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is entered in the GUDID and EUDAM as applicable.  For additional information on how to enter information into the system see the FDA GUDID Guidance document.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Device Identifier – The Base Package DI</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Information</w:t>
      </w:r>
    </w:p>
    <w:p w:rsidR="00000000" w:rsidDel="00000000" w:rsidP="00000000" w:rsidRDefault="00000000" w:rsidRPr="00000000" w14:paraId="0000005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DI</w:t>
      </w:r>
    </w:p>
    <w:p w:rsidR="00000000" w:rsidDel="00000000" w:rsidP="00000000" w:rsidRDefault="00000000" w:rsidRPr="00000000" w14:paraId="000000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Qty per Package</w:t>
      </w:r>
    </w:p>
    <w:p w:rsidR="00000000" w:rsidDel="00000000" w:rsidP="00000000" w:rsidRDefault="00000000" w:rsidRPr="00000000" w14:paraId="000000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DI Package</w:t>
      </w:r>
    </w:p>
    <w:p w:rsidR="00000000" w:rsidDel="00000000" w:rsidP="00000000" w:rsidRDefault="00000000" w:rsidRPr="00000000" w14:paraId="0000005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Type</w:t>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Discontinue Date (upon completion of life cycle)</w:t>
      </w:r>
    </w:p>
    <w:p w:rsidR="00000000" w:rsidDel="00000000" w:rsidP="00000000" w:rsidRDefault="00000000" w:rsidRPr="00000000" w14:paraId="0000005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Status</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Listing Information</w:t>
      </w:r>
    </w:p>
    <w:p w:rsidR="00000000" w:rsidDel="00000000" w:rsidP="00000000" w:rsidRDefault="00000000" w:rsidRPr="00000000" w14:paraId="0000005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FDA Premarket Submission Number</w:t>
      </w:r>
    </w:p>
    <w:p w:rsidR="00000000" w:rsidDel="00000000" w:rsidP="00000000" w:rsidRDefault="00000000" w:rsidRPr="00000000" w14:paraId="0000005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FDA Device Listing Number</w:t>
      </w:r>
    </w:p>
    <w:p w:rsidR="00000000" w:rsidDel="00000000" w:rsidP="00000000" w:rsidRDefault="00000000" w:rsidRPr="00000000" w14:paraId="0000005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FDA Product Code</w:t>
      </w:r>
    </w:p>
    <w:p w:rsidR="00000000" w:rsidDel="00000000" w:rsidP="00000000" w:rsidRDefault="00000000" w:rsidRPr="00000000" w14:paraId="0000005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Medical Device Nomenclature (GMDN) – International device type code.  See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www.gmdnagency.com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additional information.</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Product Specific Information</w:t>
      </w:r>
    </w:p>
    <w:p w:rsidR="00000000" w:rsidDel="00000000" w:rsidP="00000000" w:rsidRDefault="00000000" w:rsidRPr="00000000" w14:paraId="0000006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Listed on Label</w:t>
      </w:r>
    </w:p>
    <w:p w:rsidR="00000000" w:rsidDel="00000000" w:rsidP="00000000" w:rsidRDefault="00000000" w:rsidRPr="00000000" w14:paraId="000000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 Rx Only or OTC</w:t>
      </w:r>
    </w:p>
    <w:p w:rsidR="00000000" w:rsidDel="00000000" w:rsidP="00000000" w:rsidRDefault="00000000" w:rsidRPr="00000000" w14:paraId="000000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 Product Sterility</w:t>
      </w:r>
    </w:p>
    <w:p w:rsidR="00000000" w:rsidDel="00000000" w:rsidP="00000000" w:rsidRDefault="00000000" w:rsidRPr="00000000" w14:paraId="00000064">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5">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6">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7">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
        <w:gridCol w:w="1058"/>
        <w:gridCol w:w="1069"/>
        <w:gridCol w:w="1130"/>
        <w:gridCol w:w="5688"/>
        <w:tblGridChange w:id="0">
          <w:tblGrid>
            <w:gridCol w:w="811"/>
            <w:gridCol w:w="1058"/>
            <w:gridCol w:w="1069"/>
            <w:gridCol w:w="1130"/>
            <w:gridCol w:w="5688"/>
          </w:tblGrid>
        </w:tblGridChange>
      </w:tblGrid>
      <w:tr>
        <w:trPr>
          <w:cantSplit w:val="0"/>
          <w:tblHeader w:val="0"/>
        </w:trPr>
        <w:tc>
          <w:tcPr>
            <w:shd w:fill="d9d9d9" w:val="clear"/>
          </w:tcPr>
          <w:p w:rsidR="00000000" w:rsidDel="00000000" w:rsidP="00000000" w:rsidRDefault="00000000" w:rsidRPr="00000000" w14:paraId="0000006A">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6B">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6C">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6D">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6E">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6F">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70">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QP-0025</w:t>
            </w:r>
          </w:p>
        </w:tc>
        <w:tc>
          <w:tcPr/>
          <w:p w:rsidR="00000000" w:rsidDel="00000000" w:rsidP="00000000" w:rsidRDefault="00000000" w:rsidRPr="00000000" w14:paraId="00000071">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72">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73">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procedure for establishing and maintaining unique device identification for all medical devices.</w:t>
            </w:r>
          </w:p>
        </w:tc>
      </w:tr>
    </w:tbl>
    <w:p w:rsidR="00000000" w:rsidDel="00000000" w:rsidP="00000000" w:rsidRDefault="00000000" w:rsidRPr="00000000" w14:paraId="00000074">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75">
      <w:pPr>
        <w:spacing w:after="200" w:line="276" w:lineRule="auto"/>
        <w:rPr>
          <w:rFonts w:ascii="Arial" w:cs="Arial" w:eastAsia="Arial" w:hAnsi="Arial"/>
          <w:b w:val="1"/>
          <w:color w:val="000000"/>
          <w:sz w:val="22"/>
          <w:szCs w:val="22"/>
        </w:rPr>
      </w:pPr>
      <w:r w:rsidDel="00000000" w:rsidR="00000000" w:rsidRPr="00000000">
        <w:rPr>
          <w:rtl w:val="0"/>
        </w:rPr>
      </w:r>
    </w:p>
    <w:sectPr>
      <w:headerReference r:id="rId8" w:type="default"/>
      <w:footerReference r:id="rId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8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2"/>
        <w:szCs w:val="22"/>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77">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7A">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Unique Device Identification Process</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QP-0025</w:t>
          </w:r>
        </w:p>
      </w:tc>
      <w:tc>
        <w:tcPr>
          <w:gridSpan w:val="2"/>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2">
    <w:lvl w:ilvl="0">
      <w:start w:val="1"/>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bullet"/>
      <w:lvlText w:val="●"/>
      <w:lvlJc w:val="left"/>
      <w:pPr>
        <w:ind w:left="1224" w:hanging="504"/>
      </w:pPr>
      <w:rPr>
        <w:rFonts w:ascii="Noto Sans Symbols" w:cs="Noto Sans Symbols" w:eastAsia="Noto Sans Symbols" w:hAnsi="Noto Sans Symbols"/>
        <w:b w:val="1"/>
        <w:sz w:val="24"/>
        <w:szCs w:val="24"/>
      </w:rPr>
    </w:lvl>
    <w:lvl w:ilvl="3">
      <w:start w:val="1"/>
      <w:numFmt w:val="decimal"/>
      <w:lvlText w:val="%1.%2.●.%4."/>
      <w:lvlJc w:val="left"/>
      <w:pPr>
        <w:ind w:left="1728" w:hanging="647.9999999999998"/>
      </w:pPr>
      <w:rPr>
        <w:b w:val="0"/>
        <w:sz w:val="24"/>
        <w:szCs w:val="24"/>
      </w:rPr>
    </w:lvl>
    <w:lvl w:ilvl="4">
      <w:start w:val="1"/>
      <w:numFmt w:val="decimal"/>
      <w:lvlText w:val="%1.%2.●.%4.%5."/>
      <w:lvlJc w:val="left"/>
      <w:pPr>
        <w:ind w:left="2232" w:hanging="792"/>
      </w:pPr>
      <w:rPr>
        <w:b w:val="0"/>
        <w:sz w:val="24"/>
        <w:szCs w:val="24"/>
      </w:rPr>
    </w:lvl>
    <w:lvl w:ilvl="5">
      <w:start w:val="1"/>
      <w:numFmt w:val="decimal"/>
      <w:lvlText w:val="%1.%2.●.%4.%5.%6."/>
      <w:lvlJc w:val="left"/>
      <w:pPr>
        <w:ind w:left="2736" w:hanging="935.9999999999998"/>
      </w:pPr>
      <w:rPr>
        <w:b w:val="0"/>
      </w:rPr>
    </w:lvl>
    <w:lvl w:ilvl="6">
      <w:start w:val="1"/>
      <w:numFmt w:val="decimal"/>
      <w:lvlText w:val="%1.%2.●.%4.%5.%6.%7."/>
      <w:lvlJc w:val="left"/>
      <w:pPr>
        <w:ind w:left="3240" w:hanging="1080"/>
      </w:pPr>
      <w:rPr>
        <w:b w:val="0"/>
      </w:rPr>
    </w:lvl>
    <w:lvl w:ilvl="7">
      <w:start w:val="1"/>
      <w:numFmt w:val="decimal"/>
      <w:lvlText w:val="%1.%2.●.%4.%5.%6.%7.%8."/>
      <w:lvlJc w:val="left"/>
      <w:pPr>
        <w:ind w:left="3744" w:hanging="1224.0000000000005"/>
      </w:pPr>
      <w:rPr>
        <w:b w:val="0"/>
      </w:rPr>
    </w:lvl>
    <w:lvl w:ilvl="8">
      <w:start w:val="1"/>
      <w:numFmt w:val="decimal"/>
      <w:lvlText w:val="%1.%2.●.%4.%5.%6.%7.%8.%9."/>
      <w:lvlJc w:val="left"/>
      <w:pPr>
        <w:ind w:left="4320" w:hanging="1440"/>
      </w:pPr>
      <w:rPr>
        <w:b w:val="0"/>
      </w:rPr>
    </w:lvl>
  </w:abstractNum>
  <w:abstractNum w:abstractNumId="3">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2340" w:hanging="360"/>
      </w:pPr>
      <w:rPr>
        <w:rFonts w:ascii="Noto Sans Symbols" w:cs="Noto Sans Symbols" w:eastAsia="Noto Sans Symbols" w:hAnsi="Noto Sans Symbols"/>
      </w:rPr>
    </w:lvl>
    <w:lvl w:ilvl="1">
      <w:start w:val="1"/>
      <w:numFmt w:val="bullet"/>
      <w:lvlText w:val="o"/>
      <w:lvlJc w:val="left"/>
      <w:pPr>
        <w:ind w:left="3060" w:hanging="360"/>
      </w:pPr>
      <w:rPr>
        <w:rFonts w:ascii="Courier New" w:cs="Courier New" w:eastAsia="Courier New" w:hAnsi="Courier New"/>
      </w:rPr>
    </w:lvl>
    <w:lvl w:ilvl="2">
      <w:start w:val="1"/>
      <w:numFmt w:val="bullet"/>
      <w:lvlText w:val="▪"/>
      <w:lvlJc w:val="left"/>
      <w:pPr>
        <w:ind w:left="3780" w:hanging="360"/>
      </w:pPr>
      <w:rPr>
        <w:rFonts w:ascii="Noto Sans Symbols" w:cs="Noto Sans Symbols" w:eastAsia="Noto Sans Symbols" w:hAnsi="Noto Sans Symbols"/>
      </w:rPr>
    </w:lvl>
    <w:lvl w:ilvl="3">
      <w:start w:val="1"/>
      <w:numFmt w:val="bullet"/>
      <w:lvlText w:val="●"/>
      <w:lvlJc w:val="left"/>
      <w:pPr>
        <w:ind w:left="4500" w:hanging="360"/>
      </w:pPr>
      <w:rPr>
        <w:rFonts w:ascii="Noto Sans Symbols" w:cs="Noto Sans Symbols" w:eastAsia="Noto Sans Symbols" w:hAnsi="Noto Sans Symbols"/>
      </w:rPr>
    </w:lvl>
    <w:lvl w:ilvl="4">
      <w:start w:val="1"/>
      <w:numFmt w:val="bullet"/>
      <w:lvlText w:val="o"/>
      <w:lvlJc w:val="left"/>
      <w:pPr>
        <w:ind w:left="5220" w:hanging="360"/>
      </w:pPr>
      <w:rPr>
        <w:rFonts w:ascii="Courier New" w:cs="Courier New" w:eastAsia="Courier New" w:hAnsi="Courier New"/>
      </w:rPr>
    </w:lvl>
    <w:lvl w:ilvl="5">
      <w:start w:val="1"/>
      <w:numFmt w:val="bullet"/>
      <w:lvlText w:val="▪"/>
      <w:lvlJc w:val="left"/>
      <w:pPr>
        <w:ind w:left="5940" w:hanging="360"/>
      </w:pPr>
      <w:rPr>
        <w:rFonts w:ascii="Noto Sans Symbols" w:cs="Noto Sans Symbols" w:eastAsia="Noto Sans Symbols" w:hAnsi="Noto Sans Symbols"/>
      </w:rPr>
    </w:lvl>
    <w:lvl w:ilvl="6">
      <w:start w:val="1"/>
      <w:numFmt w:val="bullet"/>
      <w:lvlText w:val="●"/>
      <w:lvlJc w:val="left"/>
      <w:pPr>
        <w:ind w:left="6660" w:hanging="360"/>
      </w:pPr>
      <w:rPr>
        <w:rFonts w:ascii="Noto Sans Symbols" w:cs="Noto Sans Symbols" w:eastAsia="Noto Sans Symbols" w:hAnsi="Noto Sans Symbols"/>
      </w:rPr>
    </w:lvl>
    <w:lvl w:ilvl="7">
      <w:start w:val="1"/>
      <w:numFmt w:val="bullet"/>
      <w:lvlText w:val="o"/>
      <w:lvlJc w:val="left"/>
      <w:pPr>
        <w:ind w:left="7380" w:hanging="360"/>
      </w:pPr>
      <w:rPr>
        <w:rFonts w:ascii="Courier New" w:cs="Courier New" w:eastAsia="Courier New" w:hAnsi="Courier New"/>
      </w:rPr>
    </w:lvl>
    <w:lvl w:ilvl="8">
      <w:start w:val="1"/>
      <w:numFmt w:val="bullet"/>
      <w:lvlText w:val="▪"/>
      <w:lvlJc w:val="left"/>
      <w:pPr>
        <w:ind w:left="810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284"/>
      </w:tabs>
      <w:spacing w:before="480" w:lineRule="auto"/>
      <w:ind w:left="360" w:hanging="360"/>
    </w:pPr>
    <w:rPr>
      <w:rFonts w:ascii="Arial" w:cs="Arial" w:eastAsia="Arial" w:hAnsi="Arial"/>
      <w:b w:val="1"/>
      <w:smallCaps w:val="1"/>
      <w:sz w:val="20"/>
      <w:szCs w:val="20"/>
    </w:rPr>
  </w:style>
  <w:style w:type="paragraph" w:styleId="Heading2">
    <w:name w:val="heading 2"/>
    <w:basedOn w:val="Normal"/>
    <w:next w:val="Normal"/>
    <w:pPr>
      <w:tabs>
        <w:tab w:val="left" w:pos="426"/>
      </w:tabs>
      <w:spacing w:before="0" w:lineRule="auto"/>
      <w:ind w:left="720" w:hanging="540"/>
    </w:pPr>
    <w:rPr>
      <w:rFonts w:ascii="Cambria" w:cs="Cambria" w:eastAsia="Cambria" w:hAnsi="Cambria"/>
      <w:b w:val="1"/>
      <w:smallCaps w:val="0"/>
      <w:sz w:val="18"/>
      <w:szCs w:val="1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paragraph" w:styleId="Heading1">
    <w:name w:val="heading 1"/>
    <w:basedOn w:val="Normal"/>
    <w:next w:val="text1"/>
    <w:link w:val="Heading1Char"/>
    <w:qFormat w:val="1"/>
    <w:rsid w:val="001222A2"/>
    <w:pPr>
      <w:numPr>
        <w:numId w:val="26"/>
      </w:numPr>
      <w:tabs>
        <w:tab w:val="left" w:pos="284"/>
      </w:tabs>
      <w:spacing w:before="480"/>
      <w:outlineLvl w:val="0"/>
    </w:pPr>
    <w:rPr>
      <w:rFonts w:ascii="Arial" w:hAnsi="Arial"/>
      <w:b w:val="1"/>
      <w:caps w:val="1"/>
      <w:sz w:val="20"/>
      <w:szCs w:val="20"/>
      <w:lang w:eastAsia="nl-NL"/>
    </w:rPr>
  </w:style>
  <w:style w:type="paragraph" w:styleId="Heading2">
    <w:name w:val="heading 2"/>
    <w:basedOn w:val="Heading1"/>
    <w:next w:val="body"/>
    <w:link w:val="Heading2Char"/>
    <w:qFormat w:val="1"/>
    <w:rsid w:val="001222A2"/>
    <w:pPr>
      <w:numPr>
        <w:ilvl w:val="1"/>
      </w:numPr>
      <w:tabs>
        <w:tab w:val="clear" w:pos="284"/>
        <w:tab w:val="clear" w:pos="1242"/>
        <w:tab w:val="left" w:pos="426"/>
        <w:tab w:val="num" w:pos="720"/>
      </w:tabs>
      <w:spacing w:before="0"/>
      <w:ind w:left="720" w:hanging="540"/>
      <w:outlineLvl w:val="1"/>
    </w:pPr>
    <w:rPr>
      <w:rFonts w:ascii="Cambria" w:hAnsi="Cambria"/>
      <w:caps w:val="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530741"/>
    <w:pPr>
      <w:ind w:left="360"/>
    </w:pPr>
    <w:rPr>
      <w:lang w:eastAsia="nl-NL"/>
    </w:rPr>
  </w:style>
  <w:style w:type="character" w:styleId="BodyTextIndentChar" w:customStyle="1">
    <w:name w:val="Body Text Indent Char"/>
    <w:basedOn w:val="DefaultParagraphFont"/>
    <w:link w:val="BodyTextIndent"/>
    <w:rsid w:val="00530741"/>
    <w:rPr>
      <w:rFonts w:ascii="Times New Roman" w:cs="Times New Roman" w:eastAsia="Times New Roman" w:hAnsi="Times New Roman"/>
      <w:sz w:val="24"/>
      <w:szCs w:val="24"/>
      <w:lang w:eastAsia="nl-NL"/>
    </w:rPr>
  </w:style>
  <w:style w:type="paragraph" w:styleId="BodyText">
    <w:name w:val="Body Text"/>
    <w:basedOn w:val="Normal"/>
    <w:link w:val="BodyTextChar"/>
    <w:uiPriority w:val="99"/>
    <w:semiHidden w:val="1"/>
    <w:unhideWhenUsed w:val="1"/>
    <w:rsid w:val="001222A2"/>
    <w:pPr>
      <w:spacing w:after="120"/>
    </w:pPr>
  </w:style>
  <w:style w:type="character" w:styleId="BodyTextChar" w:customStyle="1">
    <w:name w:val="Body Text Char"/>
    <w:basedOn w:val="DefaultParagraphFont"/>
    <w:link w:val="BodyText"/>
    <w:uiPriority w:val="99"/>
    <w:semiHidden w:val="1"/>
    <w:rsid w:val="001222A2"/>
    <w:rPr>
      <w:rFonts w:ascii="Times New Roman" w:cs="Times New Roman" w:eastAsia="Times New Roman" w:hAnsi="Times New Roman"/>
      <w:sz w:val="24"/>
      <w:szCs w:val="24"/>
    </w:rPr>
  </w:style>
  <w:style w:type="paragraph" w:styleId="BodyTextIndent2">
    <w:name w:val="Body Text Indent 2"/>
    <w:basedOn w:val="Normal"/>
    <w:link w:val="BodyTextIndent2Char"/>
    <w:uiPriority w:val="99"/>
    <w:semiHidden w:val="1"/>
    <w:unhideWhenUsed w:val="1"/>
    <w:rsid w:val="001222A2"/>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1222A2"/>
    <w:rPr>
      <w:rFonts w:ascii="Times New Roman" w:cs="Times New Roman" w:eastAsia="Times New Roman" w:hAnsi="Times New Roman"/>
      <w:sz w:val="24"/>
      <w:szCs w:val="24"/>
    </w:rPr>
  </w:style>
  <w:style w:type="character" w:styleId="Heading1Char" w:customStyle="1">
    <w:name w:val="Heading 1 Char"/>
    <w:basedOn w:val="DefaultParagraphFont"/>
    <w:link w:val="Heading1"/>
    <w:rsid w:val="001222A2"/>
    <w:rPr>
      <w:rFonts w:ascii="Arial" w:cs="Times New Roman" w:eastAsia="Times New Roman" w:hAnsi="Arial"/>
      <w:b w:val="1"/>
      <w:caps w:val="1"/>
      <w:sz w:val="20"/>
      <w:szCs w:val="20"/>
      <w:lang w:eastAsia="nl-NL"/>
    </w:rPr>
  </w:style>
  <w:style w:type="character" w:styleId="Heading2Char" w:customStyle="1">
    <w:name w:val="Heading 2 Char"/>
    <w:basedOn w:val="DefaultParagraphFont"/>
    <w:link w:val="Heading2"/>
    <w:rsid w:val="001222A2"/>
    <w:rPr>
      <w:rFonts w:ascii="Cambria" w:cs="Times New Roman" w:eastAsia="Times New Roman" w:hAnsi="Cambria"/>
      <w:b w:val="1"/>
      <w:sz w:val="18"/>
      <w:szCs w:val="18"/>
      <w:lang w:eastAsia="nl-NL"/>
    </w:rPr>
  </w:style>
  <w:style w:type="paragraph" w:styleId="text1" w:customStyle="1">
    <w:name w:val="text 1"/>
    <w:basedOn w:val="Heading1"/>
    <w:rsid w:val="001222A2"/>
    <w:pPr>
      <w:tabs>
        <w:tab w:val="clear" w:pos="284"/>
      </w:tabs>
      <w:spacing w:before="0"/>
      <w:ind w:left="284"/>
      <w:jc w:val="both"/>
      <w:outlineLvl w:val="9"/>
    </w:pPr>
    <w:rPr>
      <w:b w:val="0"/>
      <w:caps w:val="0"/>
    </w:rPr>
  </w:style>
  <w:style w:type="paragraph" w:styleId="body" w:customStyle="1">
    <w:name w:val="body"/>
    <w:basedOn w:val="Normal"/>
    <w:rsid w:val="001222A2"/>
    <w:pPr>
      <w:spacing w:after="60" w:before="60"/>
    </w:pPr>
    <w:rPr>
      <w:rFonts w:ascii="Arial" w:hAnsi="Arial"/>
      <w:sz w:val="20"/>
      <w:szCs w:val="20"/>
      <w:lang w:eastAsia="nl-NL"/>
    </w:rPr>
  </w:style>
  <w:style w:type="paragraph" w:styleId="bodyindent" w:customStyle="1">
    <w:name w:val="body indent"/>
    <w:basedOn w:val="body"/>
    <w:rsid w:val="001222A2"/>
    <w:pPr>
      <w:ind w:left="680"/>
    </w:pPr>
  </w:style>
  <w:style w:type="character" w:styleId="CommentReference">
    <w:name w:val="annotation reference"/>
    <w:basedOn w:val="DefaultParagraphFont"/>
    <w:uiPriority w:val="99"/>
    <w:semiHidden w:val="1"/>
    <w:unhideWhenUsed w:val="1"/>
    <w:rsid w:val="00CF3993"/>
    <w:rPr>
      <w:sz w:val="16"/>
      <w:szCs w:val="16"/>
    </w:rPr>
  </w:style>
  <w:style w:type="paragraph" w:styleId="CommentText">
    <w:name w:val="annotation text"/>
    <w:basedOn w:val="Normal"/>
    <w:link w:val="CommentTextChar"/>
    <w:uiPriority w:val="99"/>
    <w:semiHidden w:val="1"/>
    <w:unhideWhenUsed w:val="1"/>
    <w:rsid w:val="00CF3993"/>
    <w:rPr>
      <w:sz w:val="20"/>
      <w:szCs w:val="20"/>
    </w:rPr>
  </w:style>
  <w:style w:type="character" w:styleId="CommentTextChar" w:customStyle="1">
    <w:name w:val="Comment Text Char"/>
    <w:basedOn w:val="DefaultParagraphFont"/>
    <w:link w:val="CommentText"/>
    <w:uiPriority w:val="99"/>
    <w:semiHidden w:val="1"/>
    <w:rsid w:val="00CF3993"/>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CF3993"/>
    <w:rPr>
      <w:b w:val="1"/>
      <w:bCs w:val="1"/>
    </w:rPr>
  </w:style>
  <w:style w:type="character" w:styleId="CommentSubjectChar" w:customStyle="1">
    <w:name w:val="Comment Subject Char"/>
    <w:basedOn w:val="CommentTextChar"/>
    <w:link w:val="CommentSubject"/>
    <w:uiPriority w:val="99"/>
    <w:semiHidden w:val="1"/>
    <w:rsid w:val="00CF3993"/>
    <w:rPr>
      <w:rFonts w:ascii="Times New Roman" w:cs="Times New Roman" w:eastAsia="Times New Roman" w:hAnsi="Times New Roman"/>
      <w:b w:val="1"/>
      <w:bCs w:val="1"/>
      <w:sz w:val="20"/>
      <w:szCs w:val="20"/>
    </w:rPr>
  </w:style>
  <w:style w:type="character" w:styleId="Hyperlink">
    <w:name w:val="Hyperlink"/>
    <w:basedOn w:val="DefaultParagraphFont"/>
    <w:uiPriority w:val="99"/>
    <w:unhideWhenUsed w:val="1"/>
    <w:rsid w:val="007C748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gmdnagency.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adWhj4ulQo9ztqePczvDLQR9tQ==">AMUW2mXtAdtNHcs7hTYhc7omxfVpwAKMVXmUGs3ZNS2Jk9nJ4ESKrqphLK5qTnwXryQFZqC0t4HbGS4eJZBZCQsmMPXNqTHDjcZ7YJhprGhxp3HO7+Di/60GVcaVUiP5Ma4usnn2Igb0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2015-04-02T14:28:00Z</dcterms:created>
</cp:coreProperties>
</file>