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describe the requirements for compliance with the Medical Device Regulation 2017/745 for the manufacture, distribution and related activities for our medical devices intended for sale in the European Union.  </w:t>
      </w:r>
    </w:p>
    <w:p w:rsidR="00000000" w:rsidDel="00000000" w:rsidP="00000000" w:rsidRDefault="00000000" w:rsidRPr="00000000" w14:paraId="00000003">
      <w:pPr>
        <w:tabs>
          <w:tab w:val="right" w:pos="1260"/>
        </w:tabs>
        <w:spacing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Scope</w:t>
      </w:r>
    </w:p>
    <w:p w:rsidR="00000000" w:rsidDel="00000000" w:rsidP="00000000" w:rsidRDefault="00000000" w:rsidRPr="00000000" w14:paraId="00000005">
      <w:pPr>
        <w:spacing w:line="276" w:lineRule="auto"/>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pertains to all medical device related products and their accessories which are intended for distribution in the European Union.</w:t>
      </w:r>
    </w:p>
    <w:p w:rsidR="00000000" w:rsidDel="00000000" w:rsidP="00000000" w:rsidRDefault="00000000" w:rsidRPr="00000000" w14:paraId="00000006">
      <w:pPr>
        <w:tabs>
          <w:tab w:val="right" w:pos="1260"/>
        </w:tabs>
        <w:spacing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General</w:t>
      </w:r>
    </w:p>
    <w:p w:rsidR="00000000" w:rsidDel="00000000" w:rsidP="00000000" w:rsidRDefault="00000000" w:rsidRPr="00000000" w14:paraId="00000008">
      <w:pPr>
        <w:numPr>
          <w:ilvl w:val="1"/>
          <w:numId w:val="4"/>
        </w:numPr>
        <w:spacing w:line="276" w:lineRule="auto"/>
        <w:ind w:left="1080" w:hanging="54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Definitions</w:t>
      </w:r>
      <w:r w:rsidDel="00000000" w:rsidR="00000000" w:rsidRPr="00000000">
        <w:rPr>
          <w:rtl w:val="0"/>
        </w:rPr>
      </w:r>
    </w:p>
    <w:p w:rsidR="00000000" w:rsidDel="00000000" w:rsidP="00000000" w:rsidRDefault="00000000" w:rsidRPr="00000000" w14:paraId="00000009">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Authorized Representative (AR): </w:t>
      </w:r>
      <w:r w:rsidDel="00000000" w:rsidR="00000000" w:rsidRPr="00000000">
        <w:rPr>
          <w:rFonts w:ascii="Arial" w:cs="Arial" w:eastAsia="Arial" w:hAnsi="Arial"/>
          <w:sz w:val="22"/>
          <w:szCs w:val="22"/>
          <w:rtl w:val="0"/>
        </w:rPr>
        <w:t xml:space="preserve">The person or organization in the European Community appointed by the company to act on its behalf in carrying out certain tasks required by the Medical Device Regulation.</w:t>
      </w:r>
    </w:p>
    <w:p w:rsidR="00000000" w:rsidDel="00000000" w:rsidP="00000000" w:rsidRDefault="00000000" w:rsidRPr="00000000" w14:paraId="0000000A">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Competent Authority (CA):</w:t>
      </w:r>
      <w:r w:rsidDel="00000000" w:rsidR="00000000" w:rsidRPr="00000000">
        <w:rPr>
          <w:rFonts w:ascii="Arial" w:cs="Arial" w:eastAsia="Arial" w:hAnsi="Arial"/>
          <w:sz w:val="22"/>
          <w:szCs w:val="22"/>
          <w:rtl w:val="0"/>
        </w:rPr>
        <w:t xml:space="preserve"> A government or regulatory authority of a given member state.  Competent Authorities are responsible for appointing accreditation bodies.  The manufacturer is obligated to deal through the Competent Authority in the country of its Notified Body.</w:t>
      </w:r>
    </w:p>
    <w:p w:rsidR="00000000" w:rsidDel="00000000" w:rsidP="00000000" w:rsidRDefault="00000000" w:rsidRPr="00000000" w14:paraId="0000000B">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Essential Requirements (ER)</w:t>
      </w:r>
      <w:r w:rsidDel="00000000" w:rsidR="00000000" w:rsidRPr="00000000">
        <w:rPr>
          <w:rFonts w:ascii="Arial" w:cs="Arial" w:eastAsia="Arial" w:hAnsi="Arial"/>
          <w:sz w:val="22"/>
          <w:szCs w:val="22"/>
          <w:rtl w:val="0"/>
        </w:rPr>
        <w:t xml:space="preserve">:  MDR 2017/745 listing detailing essential principals of safety that a device must meet in order for it to be placed into the EU.</w:t>
      </w:r>
    </w:p>
    <w:p w:rsidR="00000000" w:rsidDel="00000000" w:rsidP="00000000" w:rsidRDefault="00000000" w:rsidRPr="00000000" w14:paraId="0000000C">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EU</w:t>
      </w:r>
      <w:r w:rsidDel="00000000" w:rsidR="00000000" w:rsidRPr="00000000">
        <w:rPr>
          <w:rFonts w:ascii="Arial" w:cs="Arial" w:eastAsia="Arial" w:hAnsi="Arial"/>
          <w:sz w:val="22"/>
          <w:szCs w:val="22"/>
          <w:rtl w:val="0"/>
        </w:rPr>
        <w:t xml:space="preserve">: European Union</w:t>
      </w:r>
    </w:p>
    <w:p w:rsidR="00000000" w:rsidDel="00000000" w:rsidP="00000000" w:rsidRDefault="00000000" w:rsidRPr="00000000" w14:paraId="0000000D">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Management Representative:</w:t>
      </w:r>
      <w:r w:rsidDel="00000000" w:rsidR="00000000" w:rsidRPr="00000000">
        <w:rPr>
          <w:rFonts w:ascii="Arial" w:cs="Arial" w:eastAsia="Arial" w:hAnsi="Arial"/>
          <w:sz w:val="22"/>
          <w:szCs w:val="22"/>
          <w:rtl w:val="0"/>
        </w:rPr>
        <w:t xml:space="preserve"> An individual with the authority and responsibility to ensure that a Quality System is established and maintained in accordance with the requirements of the Quality Manual and applicable regulations and standards.</w:t>
      </w:r>
    </w:p>
    <w:p w:rsidR="00000000" w:rsidDel="00000000" w:rsidP="00000000" w:rsidRDefault="00000000" w:rsidRPr="00000000" w14:paraId="0000000E">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w:t>
      </w:r>
      <w:r w:rsidDel="00000000" w:rsidR="00000000" w:rsidRPr="00000000">
        <w:rPr>
          <w:rFonts w:ascii="Arial" w:cs="Arial" w:eastAsia="Arial" w:hAnsi="Arial"/>
          <w:sz w:val="22"/>
          <w:szCs w:val="22"/>
          <w:rtl w:val="0"/>
        </w:rPr>
        <w:t xml:space="preserve">: Medical Device Regulation</w:t>
      </w:r>
    </w:p>
    <w:p w:rsidR="00000000" w:rsidDel="00000000" w:rsidP="00000000" w:rsidRDefault="00000000" w:rsidRPr="00000000" w14:paraId="0000000F">
      <w:pPr>
        <w:numPr>
          <w:ilvl w:val="1"/>
          <w:numId w:val="1"/>
        </w:numPr>
        <w:tabs>
          <w:tab w:val="left" w:pos="1440"/>
        </w:tabs>
        <w:spacing w:before="60" w:line="276"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Notified Body:</w:t>
      </w:r>
      <w:r w:rsidDel="00000000" w:rsidR="00000000" w:rsidRPr="00000000">
        <w:rPr>
          <w:rFonts w:ascii="Arial" w:cs="Arial" w:eastAsia="Arial" w:hAnsi="Arial"/>
          <w:sz w:val="22"/>
          <w:szCs w:val="22"/>
          <w:rtl w:val="0"/>
        </w:rPr>
        <w:t xml:space="preserve">  An organization that has been designated by European authorities to carry out conformity assessments under the Medical Device Regulation, and selected as part of its certification to the Medical Device Regulation.</w:t>
      </w:r>
    </w:p>
    <w:p w:rsidR="00000000" w:rsidDel="00000000" w:rsidP="00000000" w:rsidRDefault="00000000" w:rsidRPr="00000000" w14:paraId="00000010">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QMS: </w:t>
      </w:r>
      <w:r w:rsidDel="00000000" w:rsidR="00000000" w:rsidRPr="00000000">
        <w:rPr>
          <w:rFonts w:ascii="Arial" w:cs="Arial" w:eastAsia="Arial" w:hAnsi="Arial"/>
          <w:sz w:val="22"/>
          <w:szCs w:val="22"/>
          <w:rtl w:val="0"/>
        </w:rPr>
        <w:t xml:space="preserve">Quality Management System</w:t>
      </w:r>
    </w:p>
    <w:p w:rsidR="00000000" w:rsidDel="00000000" w:rsidP="00000000" w:rsidRDefault="00000000" w:rsidRPr="00000000" w14:paraId="00000011">
      <w:pPr>
        <w:tabs>
          <w:tab w:val="right" w:pos="1260"/>
        </w:tabs>
        <w:spacing w:line="276" w:lineRule="auto"/>
        <w:ind w:left="12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1"/>
          <w:numId w:val="4"/>
        </w:numPr>
        <w:spacing w:line="276" w:lineRule="auto"/>
        <w:ind w:left="108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Responsibilities</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Quality and Regulatory Affairs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responsible for adherence to the Medical Device Regulation (MDR 2017/745) and associated directives and international standards pertaining to medical device distribution in the European Union.  </w:t>
      </w:r>
    </w:p>
    <w:p w:rsidR="00000000" w:rsidDel="00000000" w:rsidP="00000000" w:rsidRDefault="00000000" w:rsidRPr="00000000" w14:paraId="00000014">
      <w:pPr>
        <w:spacing w:line="276" w:lineRule="auto"/>
        <w:ind w:left="108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numPr>
          <w:ilvl w:val="1"/>
          <w:numId w:val="4"/>
        </w:numPr>
        <w:spacing w:line="276" w:lineRule="auto"/>
        <w:ind w:left="108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Equipment and Materials – </w:t>
      </w:r>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and Regulatory Affairs are required to be trained to this procedure and the training documented.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C">
      <w:pPr>
        <w:spacing w:before="60" w:lineRule="auto"/>
        <w:ind w:left="360"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440"/>
        </w:tabs>
        <w:spacing w:after="0" w:before="0" w:line="276" w:lineRule="auto"/>
        <w:ind w:left="5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Procedure</w:t>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shall formally appoint a Person Responsible for Regulatory Complaint (PRRC) and maintain documented evidence of qualifications.</w:t>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designs, develops, manufactures and services products that are intended to be distributed globally.  The products that are intended to be distributed to the EU will be authorized to bear the CE mark granted by our Notified Body.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maintains a Quality Management System compliant with ISO 13485, the Medical Device Regulation, and other relevant standards and directives that support product creation and distribution.  The QMS is periodically audited by an authorized notified body to ensure compliance and relevancy.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authorized notified body will be notified of any plans for substantial changes to the QMS or where the product range covered by the scope of registration will be expanded.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selected an Authority European Representative to represent our company in the European Union.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label medical devices placed on the market with the appropriate Notified Body CE marking and the name and relevant contact information of the Authorized Representative.</w:t>
      </w:r>
    </w:p>
    <w:p w:rsidR="00000000" w:rsidDel="00000000" w:rsidP="00000000" w:rsidRDefault="00000000" w:rsidRPr="00000000" w14:paraId="0000002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Rep Contact Information is maintained by the regulatory department.</w:t>
      </w:r>
    </w:p>
    <w:p w:rsidR="00000000" w:rsidDel="00000000" w:rsidP="00000000" w:rsidRDefault="00000000" w:rsidRPr="00000000" w14:paraId="0000002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prepare appropriate technical documentation to support product distribution in the EU.  The technical file will be made available to a Competent Authority for a minimum of 5 years after the last date of manufacture for a product.</w:t>
      </w:r>
    </w:p>
    <w:p w:rsidR="00000000" w:rsidDel="00000000" w:rsidP="00000000" w:rsidRDefault="00000000" w:rsidRPr="00000000" w14:paraId="0000002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combination, the company and the Authorized Representative will provide for product vigilance within the EU.  The AR will receive copies of all notifications sent to Competent Authorities.  Conversely, the AR will notify the company of any complaint or correspondence received.</w:t>
      </w:r>
    </w:p>
    <w:p w:rsidR="00000000" w:rsidDel="00000000" w:rsidP="00000000" w:rsidRDefault="00000000" w:rsidRPr="00000000" w14:paraId="0000002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AR is obligated to inform the company of any new or amended regulations for any EU member nation.</w:t>
      </w:r>
    </w:p>
    <w:p w:rsidR="00000000" w:rsidDel="00000000" w:rsidP="00000000" w:rsidRDefault="00000000" w:rsidRPr="00000000" w14:paraId="000000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certification is documented on a Declaration of Conformity (DoC) in compliance with the requirements of the Medical Device Regulation. The DoC identifies: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 name and address,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(EU) Representative,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Name(s) and Model reference number(s),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classification according to Annex IX of the MDD,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GMDN Codes,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QMS certification information, and</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Notified Body name and address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technical file will be created and maintained for product for sale and distribution in the EU.  Amongst other things, the technical file will contain:</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about the device(s)</w:t>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the ER Checklist</w:t>
      </w:r>
    </w:p>
    <w:p w:rsidR="00000000" w:rsidDel="00000000" w:rsidP="00000000" w:rsidRDefault="00000000" w:rsidRPr="00000000" w14:paraId="0000003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Risk Assessment(s) performed</w:t>
      </w:r>
    </w:p>
    <w:p w:rsidR="00000000" w:rsidDel="00000000" w:rsidP="00000000" w:rsidRDefault="00000000" w:rsidRPr="00000000" w14:paraId="000000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Clinical Evaluation(s)/Literature Study(ies)</w:t>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Verification &amp; Validation performed</w:t>
      </w:r>
    </w:p>
    <w:p w:rsidR="00000000" w:rsidDel="00000000" w:rsidP="00000000" w:rsidRDefault="00000000" w:rsidRPr="00000000" w14:paraId="000000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Manufacturing Plan &amp; Validation</w:t>
      </w:r>
    </w:p>
    <w:p w:rsidR="00000000" w:rsidDel="00000000" w:rsidP="00000000" w:rsidRDefault="00000000" w:rsidRPr="00000000" w14:paraId="0000003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Product Labeling</w:t>
      </w:r>
    </w:p>
    <w:p w:rsidR="00000000" w:rsidDel="00000000" w:rsidP="00000000" w:rsidRDefault="00000000" w:rsidRPr="00000000" w14:paraId="000000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the Declaration of Conformity</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included the required details for compliance to the Medical Device Regulation by documented reference to the elements of Medical Device Reporting, Vigilance (Product Recall), Post Market Surveillance and other pertinent procedures.</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Authorized Representative will be informed of any plans to conduct Clinical Investigations within the EU.  In turn, the AR will ensure that the Competent Authority(ies) are properly notified and will maintain the appropriate vigilance and records throughout the investigation.</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shall implement unique device identification (UDI) and maintain applicable information in the European Database on Medical Devices (EUDAMED) once the database is operational.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right" w:pos="1440"/>
        </w:tabs>
        <w:spacing w:after="0" w:before="0" w:line="276" w:lineRule="auto"/>
        <w:ind w:left="54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br w:type="textWrapping"/>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
        <w:gridCol w:w="1050"/>
        <w:gridCol w:w="1069"/>
        <w:gridCol w:w="1142"/>
        <w:gridCol w:w="5850"/>
        <w:tblGridChange w:id="0">
          <w:tblGrid>
            <w:gridCol w:w="807"/>
            <w:gridCol w:w="1050"/>
            <w:gridCol w:w="1069"/>
            <w:gridCol w:w="1142"/>
            <w:gridCol w:w="5850"/>
          </w:tblGrid>
        </w:tblGridChange>
      </w:tblGrid>
      <w:tr>
        <w:trPr>
          <w:cantSplit w:val="0"/>
          <w:tblHeader w:val="0"/>
        </w:trPr>
        <w:tc>
          <w:tcPr>
            <w:shd w:fill="d9d9d9" w:val="clear"/>
          </w:tcPr>
          <w:p w:rsidR="00000000" w:rsidDel="00000000" w:rsidP="00000000" w:rsidRDefault="00000000" w:rsidRPr="00000000" w14:paraId="00000042">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3">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4">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5">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7">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8">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QP-0029</w:t>
            </w:r>
          </w:p>
        </w:tc>
        <w:tc>
          <w:tcPr/>
          <w:p w:rsidR="00000000" w:rsidDel="00000000" w:rsidP="00000000" w:rsidRDefault="00000000" w:rsidRPr="00000000" w14:paraId="00000049">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A">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B">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EU MDR Procedure</w:t>
            </w:r>
          </w:p>
        </w:tc>
      </w:tr>
    </w:tbl>
    <w:p w:rsidR="00000000" w:rsidDel="00000000" w:rsidP="00000000" w:rsidRDefault="00000000" w:rsidRPr="00000000" w14:paraId="0000004C">
      <w:pPr>
        <w:tabs>
          <w:tab w:val="left" w:pos="540"/>
          <w:tab w:val="right" w:pos="1440"/>
        </w:tabs>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1"/>
        <w:spacing w:after="200" w:line="276"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G Time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left"/>
      <w:rPr>
        <w:rFonts w:ascii="Open Sans" w:cs="Open Sans" w:eastAsia="Open Sans" w:hAnsi="Open Sans"/>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86"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120" w:line="240" w:lineRule="auto"/>
      <w:ind w:left="0" w:right="-8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10/8/2020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50">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53">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European Union Medical Device Regulation Procedure</w:t>
          </w:r>
        </w:p>
      </w:tc>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QP-0029</w:t>
          </w:r>
        </w:p>
      </w:tc>
      <w:tc>
        <w:tcPr>
          <w:gridSpan w:val="2"/>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620" w:hanging="630"/>
      </w:pPr>
      <w:rPr>
        <w:b w:val="1"/>
      </w:rPr>
    </w:lvl>
    <w:lvl w:ilvl="1">
      <w:start w:val="1"/>
      <w:numFmt w:val="bullet"/>
      <w:lvlText w:val="●"/>
      <w:lvlJc w:val="left"/>
      <w:pPr>
        <w:ind w:left="1710" w:hanging="630"/>
      </w:pPr>
      <w:rPr>
        <w:rFonts w:ascii="Noto Sans Symbols" w:cs="Noto Sans Symbols" w:eastAsia="Noto Sans Symbols" w:hAnsi="Noto Sans Symbols"/>
        <w:b w:val="1"/>
      </w:rPr>
    </w:lvl>
    <w:lvl w:ilvl="2">
      <w:start w:val="1"/>
      <w:numFmt w:val="decimal"/>
      <w:lvlText w:val="%1.●.%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3.●.%5"/>
      <w:lvlJc w:val="left"/>
      <w:pPr>
        <w:ind w:left="3960" w:hanging="1080"/>
      </w:pPr>
      <w:rPr/>
    </w:lvl>
    <w:lvl w:ilvl="5">
      <w:start w:val="1"/>
      <w:numFmt w:val="decimal"/>
      <w:lvlText w:val="%1.●.%3.●.%5.%6"/>
      <w:lvlJc w:val="left"/>
      <w:pPr>
        <w:ind w:left="4680" w:hanging="1080"/>
      </w:pPr>
      <w:rPr/>
    </w:lvl>
    <w:lvl w:ilvl="6">
      <w:start w:val="1"/>
      <w:numFmt w:val="decimal"/>
      <w:lvlText w:val="%1.●.%3.●.%5.%6.%7"/>
      <w:lvlJc w:val="left"/>
      <w:pPr>
        <w:ind w:left="5400" w:hanging="1080"/>
      </w:pPr>
      <w:rPr/>
    </w:lvl>
    <w:lvl w:ilvl="7">
      <w:start w:val="1"/>
      <w:numFmt w:val="decimal"/>
      <w:lvlText w:val="%1.●.%3.●.%5.%6.%7.%8"/>
      <w:lvlJc w:val="left"/>
      <w:pPr>
        <w:ind w:left="6480" w:hanging="1440"/>
      </w:pPr>
      <w:rPr/>
    </w:lvl>
    <w:lvl w:ilvl="8">
      <w:start w:val="1"/>
      <w:numFmt w:val="decimal"/>
      <w:lvlText w:val="%1.●.%3.●.%5.%6.%7.%8.%9"/>
      <w:lvlJc w:val="left"/>
      <w:pPr>
        <w:ind w:left="7200" w:hanging="1440"/>
      </w:pPr>
      <w:rPr/>
    </w:lvl>
  </w:abstractNum>
  <w:abstractNum w:abstractNumId="2">
    <w:lvl w:ilvl="0">
      <w:start w:val="1"/>
      <w:numFmt w:val="decimal"/>
      <w:lvlText w:val="%1.0"/>
      <w:lvlJc w:val="left"/>
      <w:pPr>
        <w:ind w:left="1620" w:hanging="630"/>
      </w:pPr>
      <w:rPr>
        <w:b w:val="1"/>
      </w:rPr>
    </w:lvl>
    <w:lvl w:ilvl="1">
      <w:start w:val="1"/>
      <w:numFmt w:val="bullet"/>
      <w:lvlText w:val="●"/>
      <w:lvlJc w:val="left"/>
      <w:pPr>
        <w:ind w:left="1710" w:hanging="630"/>
      </w:pPr>
      <w:rPr>
        <w:rFonts w:ascii="Noto Sans Symbols" w:cs="Noto Sans Symbols" w:eastAsia="Noto Sans Symbols" w:hAnsi="Noto Sans Symbols"/>
        <w:b w:val="1"/>
      </w:rPr>
    </w:lvl>
    <w:lvl w:ilvl="2">
      <w:start w:val="1"/>
      <w:numFmt w:val="decimal"/>
      <w:lvlText w:val="%1.●.%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3.●.%5"/>
      <w:lvlJc w:val="left"/>
      <w:pPr>
        <w:ind w:left="3960" w:hanging="1080"/>
      </w:pPr>
      <w:rPr/>
    </w:lvl>
    <w:lvl w:ilvl="5">
      <w:start w:val="1"/>
      <w:numFmt w:val="decimal"/>
      <w:lvlText w:val="%1.●.%3.●.%5.%6"/>
      <w:lvlJc w:val="left"/>
      <w:pPr>
        <w:ind w:left="4680" w:hanging="1080"/>
      </w:pPr>
      <w:rPr/>
    </w:lvl>
    <w:lvl w:ilvl="6">
      <w:start w:val="1"/>
      <w:numFmt w:val="decimal"/>
      <w:lvlText w:val="%1.●.%3.●.%5.%6.%7"/>
      <w:lvlJc w:val="left"/>
      <w:pPr>
        <w:ind w:left="5400" w:hanging="1080"/>
      </w:pPr>
      <w:rPr/>
    </w:lvl>
    <w:lvl w:ilvl="7">
      <w:start w:val="1"/>
      <w:numFmt w:val="decimal"/>
      <w:lvlText w:val="%1.●.%3.●.%5.%6.%7.%8"/>
      <w:lvlJc w:val="left"/>
      <w:pPr>
        <w:ind w:left="6480" w:hanging="1440"/>
      </w:pPr>
      <w:rPr/>
    </w:lvl>
    <w:lvl w:ilvl="8">
      <w:start w:val="1"/>
      <w:numFmt w:val="decimal"/>
      <w:lvlText w:val="%1.●.%3.●.%5.%6.%7.%8.%9"/>
      <w:lvlJc w:val="left"/>
      <w:pPr>
        <w:ind w:left="7200" w:hanging="1440"/>
      </w:pPr>
      <w:rPr/>
    </w:lvl>
  </w:abstractNum>
  <w:abstractNum w:abstractNumId="3">
    <w:lvl w:ilvl="0">
      <w:start w:val="1"/>
      <w:numFmt w:val="decimal"/>
      <w:lvlText w:val="%1.0"/>
      <w:lvlJc w:val="left"/>
      <w:pPr>
        <w:ind w:left="630" w:hanging="630"/>
      </w:pPr>
      <w:rPr>
        <w:b w:val="1"/>
      </w:rPr>
    </w:lvl>
    <w:lvl w:ilvl="1">
      <w:start w:val="1"/>
      <w:numFmt w:val="decimal"/>
      <w:lvlText w:val="%1.%2"/>
      <w:lvlJc w:val="left"/>
      <w:pPr>
        <w:ind w:left="900" w:hanging="630"/>
      </w:pPr>
      <w:rPr>
        <w:b w:val="1"/>
      </w:rPr>
    </w:lvl>
    <w:lvl w:ilvl="2">
      <w:start w:val="1"/>
      <w:numFmt w:val="bullet"/>
      <w:lvlText w:val="●"/>
      <w:lvlJc w:val="left"/>
      <w:pPr>
        <w:ind w:left="2160" w:hanging="720"/>
      </w:pPr>
      <w:rPr>
        <w:rFonts w:ascii="Noto Sans Symbols" w:cs="Noto Sans Symbols" w:eastAsia="Noto Sans Symbols" w:hAnsi="Noto Sans Symbols"/>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4">
    <w:lvl w:ilvl="0">
      <w:start w:val="1"/>
      <w:numFmt w:val="decimal"/>
      <w:lvlText w:val="%1.0"/>
      <w:lvlJc w:val="left"/>
      <w:pPr>
        <w:ind w:left="1620" w:hanging="630"/>
      </w:pPr>
      <w:rPr>
        <w:b w:val="1"/>
      </w:rPr>
    </w:lvl>
    <w:lvl w:ilvl="1">
      <w:start w:val="1"/>
      <w:numFmt w:val="decimal"/>
      <w:lvlText w:val="%1.%2"/>
      <w:lvlJc w:val="left"/>
      <w:pPr>
        <w:ind w:left="1710" w:hanging="630"/>
      </w:pPr>
      <w:rPr>
        <w:b w:val="1"/>
      </w:rPr>
    </w:lvl>
    <w:lvl w:ilvl="2">
      <w:start w:val="1"/>
      <w:numFmt w:val="decimal"/>
      <w:lvlText w:val="%1.%2.%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3.●.%5"/>
      <w:lvlJc w:val="left"/>
      <w:pPr>
        <w:ind w:left="3960" w:hanging="1080"/>
      </w:pPr>
      <w:rPr/>
    </w:lvl>
    <w:lvl w:ilvl="5">
      <w:start w:val="1"/>
      <w:numFmt w:val="decimal"/>
      <w:lvlText w:val="%1.%2.%3.●.%5.%6"/>
      <w:lvlJc w:val="left"/>
      <w:pPr>
        <w:ind w:left="4680" w:hanging="1080"/>
      </w:pPr>
      <w:rPr/>
    </w:lvl>
    <w:lvl w:ilvl="6">
      <w:start w:val="1"/>
      <w:numFmt w:val="decimal"/>
      <w:lvlText w:val="%1.%2.%3.●.%5.%6.%7"/>
      <w:lvlJc w:val="left"/>
      <w:pPr>
        <w:ind w:left="5400" w:hanging="1080"/>
      </w:pPr>
      <w:rPr/>
    </w:lvl>
    <w:lvl w:ilvl="7">
      <w:start w:val="1"/>
      <w:numFmt w:val="decimal"/>
      <w:lvlText w:val="%1.%2.%3.●.%5.%6.%7.%8"/>
      <w:lvlJc w:val="left"/>
      <w:pPr>
        <w:ind w:left="6480" w:hanging="1440"/>
      </w:pPr>
      <w:rPr/>
    </w:lvl>
    <w:lvl w:ilvl="8">
      <w:start w:val="1"/>
      <w:numFmt w:val="decimal"/>
      <w:lvlText w:val="%1.%2.%3.●.%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80" w:lineRule="auto"/>
      <w:ind w:left="907" w:hanging="547"/>
      <w:jc w:val="both"/>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907" w:hanging="547"/>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2E29"/>
    <w:pPr>
      <w:widowControl w:val="0"/>
      <w:spacing w:after="0" w:line="240" w:lineRule="auto"/>
    </w:pPr>
    <w:rPr>
      <w:rFonts w:ascii="Univers" w:cs="Times New Roman" w:eastAsia="Times New Roman" w:hAnsi="Univers"/>
      <w:snapToGrid w:val="0"/>
      <w:sz w:val="24"/>
      <w:szCs w:val="20"/>
    </w:rPr>
  </w:style>
  <w:style w:type="paragraph" w:styleId="Heading1">
    <w:name w:val="heading 1"/>
    <w:basedOn w:val="Heading2"/>
    <w:next w:val="Normal"/>
    <w:link w:val="Heading1Char"/>
    <w:qFormat w:val="1"/>
    <w:rsid w:val="00677776"/>
    <w:pPr>
      <w:numPr>
        <w:ilvl w:val="0"/>
      </w:numPr>
      <w:spacing w:after="240" w:before="280"/>
      <w:outlineLvl w:val="0"/>
    </w:pPr>
    <w:rPr>
      <w:sz w:val="28"/>
      <w:szCs w:val="28"/>
    </w:rPr>
  </w:style>
  <w:style w:type="paragraph" w:styleId="Heading2">
    <w:name w:val="heading 2"/>
    <w:basedOn w:val="Normal"/>
    <w:next w:val="Normal"/>
    <w:link w:val="Heading2Char"/>
    <w:qFormat w:val="1"/>
    <w:rsid w:val="00677776"/>
    <w:pPr>
      <w:keepNext w:val="1"/>
      <w:numPr>
        <w:ilvl w:val="1"/>
        <w:numId w:val="6"/>
      </w:numPr>
      <w:spacing w:after="120" w:before="240"/>
      <w:ind w:left="907" w:hanging="547"/>
      <w:jc w:val="both"/>
      <w:outlineLvl w:val="1"/>
    </w:pPr>
    <w:rPr>
      <w:rFonts w:ascii="Arial" w:cs="Arial" w:hAnsi="Arial"/>
      <w:b w:val="1"/>
      <w:snapToGrid w:val="1"/>
      <w:szCs w:val="24"/>
    </w:rPr>
  </w:style>
  <w:style w:type="paragraph" w:styleId="Heading4">
    <w:name w:val="heading 4"/>
    <w:basedOn w:val="Normal"/>
    <w:next w:val="Normal"/>
    <w:link w:val="Heading4Char"/>
    <w:uiPriority w:val="9"/>
    <w:semiHidden w:val="1"/>
    <w:unhideWhenUsed w:val="1"/>
    <w:qFormat w:val="1"/>
    <w:rsid w:val="0067777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92F69"/>
    <w:pPr>
      <w:tabs>
        <w:tab w:val="center" w:pos="4680"/>
        <w:tab w:val="right" w:pos="9360"/>
      </w:tabs>
    </w:pPr>
  </w:style>
  <w:style w:type="character" w:styleId="HeaderChar" w:customStyle="1">
    <w:name w:val="Header Char"/>
    <w:basedOn w:val="DefaultParagraphFont"/>
    <w:link w:val="Header"/>
    <w:rsid w:val="00992F69"/>
  </w:style>
  <w:style w:type="paragraph" w:styleId="Footer">
    <w:name w:val="footer"/>
    <w:basedOn w:val="Normal"/>
    <w:link w:val="FooterChar"/>
    <w:unhideWhenUsed w:val="1"/>
    <w:rsid w:val="00992F69"/>
    <w:pPr>
      <w:tabs>
        <w:tab w:val="center" w:pos="4680"/>
        <w:tab w:val="right" w:pos="9360"/>
      </w:tabs>
    </w:pPr>
  </w:style>
  <w:style w:type="character" w:styleId="FooterChar" w:customStyle="1">
    <w:name w:val="Footer Char"/>
    <w:basedOn w:val="DefaultParagraphFont"/>
    <w:link w:val="Footer"/>
    <w:uiPriority w:val="99"/>
    <w:rsid w:val="00992F69"/>
  </w:style>
  <w:style w:type="character" w:styleId="PageNumber">
    <w:name w:val="page number"/>
    <w:basedOn w:val="DefaultParagraphFont"/>
    <w:rsid w:val="00992F69"/>
  </w:style>
  <w:style w:type="paragraph" w:styleId="BalloonText">
    <w:name w:val="Balloon Text"/>
    <w:basedOn w:val="Normal"/>
    <w:link w:val="BalloonTextChar"/>
    <w:uiPriority w:val="99"/>
    <w:semiHidden w:val="1"/>
    <w:unhideWhenUsed w:val="1"/>
    <w:rsid w:val="00992F6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2F69"/>
    <w:rPr>
      <w:rFonts w:ascii="Tahoma" w:cs="Tahoma" w:hAnsi="Tahoma"/>
      <w:sz w:val="16"/>
      <w:szCs w:val="16"/>
    </w:rPr>
  </w:style>
  <w:style w:type="paragraph" w:styleId="changerecord" w:customStyle="1">
    <w:name w:val="change record"/>
    <w:basedOn w:val="Normal"/>
    <w:rsid w:val="00B72E29"/>
    <w:pPr>
      <w:widowControl w:val="1"/>
      <w:spacing w:before="240"/>
    </w:pPr>
    <w:rPr>
      <w:rFonts w:ascii="Times New Roman" w:hAnsi="Times New Roman"/>
      <w:b w:val="1"/>
      <w:snapToGrid w:val="1"/>
      <w:color w:val="000000"/>
    </w:rPr>
  </w:style>
  <w:style w:type="paragraph" w:styleId="ListParagraph">
    <w:name w:val="List Paragraph"/>
    <w:basedOn w:val="Normal"/>
    <w:uiPriority w:val="34"/>
    <w:qFormat w:val="1"/>
    <w:rsid w:val="00B72E29"/>
    <w:pPr>
      <w:ind w:left="720"/>
    </w:pPr>
  </w:style>
  <w:style w:type="paragraph" w:styleId="subpara2" w:customStyle="1">
    <w:name w:val="sub para 2"/>
    <w:basedOn w:val="List3"/>
    <w:link w:val="subpara2Char"/>
    <w:qFormat w:val="1"/>
    <w:rsid w:val="00AB1873"/>
    <w:pPr>
      <w:tabs>
        <w:tab w:val="left" w:pos="900"/>
      </w:tabs>
      <w:spacing w:after="120" w:before="240"/>
      <w:ind w:left="900" w:hanging="540"/>
      <w:contextualSpacing w:val="0"/>
      <w:jc w:val="both"/>
    </w:pPr>
    <w:rPr>
      <w:rFonts w:ascii="Times New Roman" w:hAnsi="Times New Roman"/>
      <w:snapToGrid w:val="1"/>
      <w:szCs w:val="24"/>
    </w:rPr>
  </w:style>
  <w:style w:type="character" w:styleId="subpara2Char" w:customStyle="1">
    <w:name w:val="sub para 2 Char"/>
    <w:basedOn w:val="DefaultParagraphFont"/>
    <w:link w:val="subpara2"/>
    <w:rsid w:val="00AB1873"/>
    <w:rPr>
      <w:rFonts w:ascii="Times New Roman" w:cs="Times New Roman" w:eastAsia="Times New Roman" w:hAnsi="Times New Roman"/>
      <w:sz w:val="24"/>
      <w:szCs w:val="24"/>
    </w:rPr>
  </w:style>
  <w:style w:type="paragraph" w:styleId="List3">
    <w:name w:val="List 3"/>
    <w:basedOn w:val="Normal"/>
    <w:uiPriority w:val="99"/>
    <w:semiHidden w:val="1"/>
    <w:unhideWhenUsed w:val="1"/>
    <w:rsid w:val="00AB1873"/>
    <w:pPr>
      <w:ind w:left="1080" w:hanging="360"/>
      <w:contextualSpacing w:val="1"/>
    </w:pPr>
  </w:style>
  <w:style w:type="character" w:styleId="Hyperlink">
    <w:name w:val="Hyperlink"/>
    <w:basedOn w:val="DefaultParagraphFont"/>
    <w:uiPriority w:val="99"/>
    <w:semiHidden w:val="1"/>
    <w:unhideWhenUsed w:val="1"/>
    <w:rsid w:val="007F3BE6"/>
    <w:rPr>
      <w:strike w:val="0"/>
      <w:dstrike w:val="0"/>
      <w:color w:val="002bb8"/>
      <w:u w:val="none"/>
      <w:effect w:val="none"/>
    </w:rPr>
  </w:style>
  <w:style w:type="paragraph" w:styleId="NoSpacing">
    <w:name w:val="No Spacing"/>
    <w:basedOn w:val="subpara2"/>
    <w:link w:val="NoSpacingChar"/>
    <w:uiPriority w:val="1"/>
    <w:qFormat w:val="1"/>
    <w:rsid w:val="007F3BE6"/>
    <w:pPr>
      <w:tabs>
        <w:tab w:val="clear" w:pos="900"/>
      </w:tabs>
      <w:spacing w:before="120"/>
      <w:ind w:left="1627" w:hanging="720"/>
    </w:pPr>
  </w:style>
  <w:style w:type="character" w:styleId="Heading1Char" w:customStyle="1">
    <w:name w:val="Heading 1 Char"/>
    <w:basedOn w:val="DefaultParagraphFont"/>
    <w:link w:val="Heading1"/>
    <w:rsid w:val="00677776"/>
    <w:rPr>
      <w:rFonts w:ascii="Arial" w:cs="Arial" w:eastAsia="Times New Roman" w:hAnsi="Arial"/>
      <w:b w:val="1"/>
      <w:sz w:val="28"/>
      <w:szCs w:val="28"/>
    </w:rPr>
  </w:style>
  <w:style w:type="character" w:styleId="Heading2Char" w:customStyle="1">
    <w:name w:val="Heading 2 Char"/>
    <w:basedOn w:val="DefaultParagraphFont"/>
    <w:link w:val="Heading2"/>
    <w:rsid w:val="00677776"/>
    <w:rPr>
      <w:rFonts w:ascii="Arial" w:cs="Arial" w:eastAsia="Times New Roman" w:hAnsi="Arial"/>
      <w:b w:val="1"/>
      <w:sz w:val="24"/>
      <w:szCs w:val="24"/>
    </w:rPr>
  </w:style>
  <w:style w:type="paragraph" w:styleId="subpara4" w:customStyle="1">
    <w:name w:val="sub para 4"/>
    <w:basedOn w:val="subpara3"/>
    <w:qFormat w:val="1"/>
    <w:rsid w:val="00677776"/>
    <w:pPr>
      <w:numPr>
        <w:ilvl w:val="3"/>
      </w:numPr>
      <w:tabs>
        <w:tab w:val="left" w:pos="2610"/>
      </w:tabs>
      <w:spacing w:after="80" w:before="120"/>
      <w:ind w:left="2610" w:hanging="896"/>
    </w:pPr>
  </w:style>
  <w:style w:type="paragraph" w:styleId="subpara3" w:customStyle="1">
    <w:name w:val="sub para 3"/>
    <w:basedOn w:val="Heading4"/>
    <w:qFormat w:val="1"/>
    <w:rsid w:val="00677776"/>
    <w:pPr>
      <w:keepNext w:val="0"/>
      <w:numPr>
        <w:ilvl w:val="2"/>
        <w:numId w:val="6"/>
      </w:numPr>
      <w:spacing w:after="120" w:before="240"/>
      <w:ind w:left="1710" w:hanging="810"/>
      <w:jc w:val="both"/>
    </w:pPr>
    <w:rPr>
      <w:rFonts w:ascii="Times New Roman" w:cs="Times New Roman" w:eastAsia="Times New Roman" w:hAnsi="Times New Roman"/>
      <w:b w:val="0"/>
      <w:bCs w:val="0"/>
      <w:i w:val="0"/>
      <w:iCs w:val="0"/>
      <w:snapToGrid w:val="1"/>
      <w:color w:val="auto"/>
      <w:szCs w:val="24"/>
    </w:rPr>
  </w:style>
  <w:style w:type="paragraph" w:styleId="FootnoteText">
    <w:name w:val="footnote text"/>
    <w:basedOn w:val="Normal"/>
    <w:link w:val="FootnoteTextChar"/>
    <w:uiPriority w:val="99"/>
    <w:unhideWhenUsed w:val="1"/>
    <w:rsid w:val="00677776"/>
    <w:pPr>
      <w:widowControl w:val="1"/>
      <w:spacing w:before="240"/>
      <w:ind w:left="360"/>
      <w:jc w:val="both"/>
    </w:pPr>
    <w:rPr>
      <w:rFonts w:ascii="Times New Roman" w:hAnsi="Times New Roman"/>
      <w:snapToGrid w:val="1"/>
      <w:sz w:val="20"/>
    </w:rPr>
  </w:style>
  <w:style w:type="character" w:styleId="FootnoteTextChar" w:customStyle="1">
    <w:name w:val="Footnote Text Char"/>
    <w:basedOn w:val="DefaultParagraphFont"/>
    <w:link w:val="FootnoteText"/>
    <w:uiPriority w:val="99"/>
    <w:rsid w:val="00677776"/>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677776"/>
    <w:rPr>
      <w:vertAlign w:val="superscript"/>
    </w:rPr>
  </w:style>
  <w:style w:type="character" w:styleId="Heading4Char" w:customStyle="1">
    <w:name w:val="Heading 4 Char"/>
    <w:basedOn w:val="DefaultParagraphFont"/>
    <w:link w:val="Heading4"/>
    <w:uiPriority w:val="9"/>
    <w:semiHidden w:val="1"/>
    <w:rsid w:val="00677776"/>
    <w:rPr>
      <w:rFonts w:asciiTheme="majorHAnsi" w:cstheme="majorBidi" w:eastAsiaTheme="majorEastAsia" w:hAnsiTheme="majorHAnsi"/>
      <w:b w:val="1"/>
      <w:bCs w:val="1"/>
      <w:i w:val="1"/>
      <w:iCs w:val="1"/>
      <w:snapToGrid w:val="0"/>
      <w:color w:val="4f81bd" w:themeColor="accent1"/>
      <w:sz w:val="24"/>
      <w:szCs w:val="20"/>
    </w:rPr>
  </w:style>
  <w:style w:type="paragraph" w:styleId="BlockText">
    <w:name w:val="Block Text"/>
    <w:basedOn w:val="Normal"/>
    <w:rsid w:val="00677776"/>
    <w:pPr>
      <w:widowControl w:val="1"/>
    </w:pPr>
    <w:rPr>
      <w:rFonts w:ascii="Times New Roman" w:hAnsi="Times New Roman"/>
      <w:snapToGrid w:val="1"/>
      <w:color w:val="000000"/>
      <w:szCs w:val="24"/>
    </w:rPr>
  </w:style>
  <w:style w:type="paragraph" w:styleId="BulletText3" w:customStyle="1">
    <w:name w:val="Bullet Text 3"/>
    <w:basedOn w:val="Normal"/>
    <w:rsid w:val="007F2AB3"/>
    <w:pPr>
      <w:widowControl w:val="1"/>
      <w:numPr>
        <w:numId w:val="8"/>
      </w:numPr>
    </w:pPr>
    <w:rPr>
      <w:rFonts w:ascii="Times New Roman" w:hAnsi="Times New Roman"/>
      <w:snapToGrid w:val="1"/>
      <w:color w:val="000000"/>
    </w:rPr>
  </w:style>
  <w:style w:type="paragraph" w:styleId="BodyTextIndent2">
    <w:name w:val="Body Text Indent 2"/>
    <w:basedOn w:val="Normal"/>
    <w:link w:val="BodyTextIndent2Char"/>
    <w:rsid w:val="00DF1138"/>
    <w:pPr>
      <w:ind w:left="2160" w:hanging="2160"/>
    </w:pPr>
    <w:rPr>
      <w:rFonts w:ascii="Times New Roman" w:hAnsi="Times New Roman"/>
    </w:rPr>
  </w:style>
  <w:style w:type="character" w:styleId="BodyTextIndent2Char" w:customStyle="1">
    <w:name w:val="Body Text Indent 2 Char"/>
    <w:basedOn w:val="DefaultParagraphFont"/>
    <w:link w:val="BodyTextIndent2"/>
    <w:rsid w:val="00DF1138"/>
    <w:rPr>
      <w:rFonts w:ascii="Times New Roman" w:cs="Times New Roman" w:eastAsia="Times New Roman" w:hAnsi="Times New Roman"/>
      <w:snapToGrid w:val="0"/>
      <w:sz w:val="24"/>
      <w:szCs w:val="20"/>
    </w:rPr>
  </w:style>
  <w:style w:type="character" w:styleId="NoSpacingChar" w:customStyle="1">
    <w:name w:val="No Spacing Char"/>
    <w:basedOn w:val="DefaultParagraphFont"/>
    <w:link w:val="NoSpacing"/>
    <w:uiPriority w:val="1"/>
    <w:rsid w:val="0022787B"/>
    <w:rPr>
      <w:rFonts w:ascii="Times New Roman" w:cs="Times New Roman" w:eastAsia="Times New Roman" w:hAnsi="Times New Roman"/>
      <w:sz w:val="24"/>
      <w:szCs w:val="24"/>
    </w:rPr>
  </w:style>
  <w:style w:type="paragraph" w:styleId="TierIV" w:customStyle="1">
    <w:name w:val="Tier IV"/>
    <w:basedOn w:val="TierIII"/>
    <w:rsid w:val="00777027"/>
    <w:pPr>
      <w:numPr>
        <w:ilvl w:val="3"/>
      </w:numPr>
      <w:spacing w:before="80"/>
    </w:pPr>
  </w:style>
  <w:style w:type="paragraph" w:styleId="TierI" w:customStyle="1">
    <w:name w:val="Tier I"/>
    <w:basedOn w:val="Normal"/>
    <w:next w:val="TierII"/>
    <w:rsid w:val="00777027"/>
    <w:pPr>
      <w:numPr>
        <w:numId w:val="37"/>
      </w:numPr>
      <w:pBdr>
        <w:bottom w:color="auto" w:space="2" w:sz="4" w:val="single"/>
      </w:pBdr>
      <w:spacing w:after="120" w:before="180"/>
    </w:pPr>
    <w:rPr>
      <w:rFonts w:ascii="Arial" w:cs="Arial" w:hAnsi="Arial"/>
      <w:b w:val="1"/>
      <w:snapToGrid w:val="1"/>
      <w:sz w:val="22"/>
    </w:rPr>
  </w:style>
  <w:style w:type="paragraph" w:styleId="TierII" w:customStyle="1">
    <w:name w:val="Tier II"/>
    <w:basedOn w:val="Normal"/>
    <w:rsid w:val="00777027"/>
    <w:pPr>
      <w:numPr>
        <w:ilvl w:val="1"/>
        <w:numId w:val="37"/>
      </w:numPr>
      <w:spacing w:after="80" w:before="40"/>
    </w:pPr>
    <w:rPr>
      <w:rFonts w:ascii="Arial" w:hAnsi="Arial"/>
      <w:snapToGrid w:val="1"/>
      <w:sz w:val="22"/>
    </w:rPr>
  </w:style>
  <w:style w:type="paragraph" w:styleId="TierIII" w:customStyle="1">
    <w:name w:val="Tier III"/>
    <w:basedOn w:val="Normal"/>
    <w:rsid w:val="00777027"/>
    <w:pPr>
      <w:numPr>
        <w:ilvl w:val="2"/>
        <w:numId w:val="37"/>
      </w:numPr>
      <w:tabs>
        <w:tab w:val="left" w:pos="-3330"/>
      </w:tabs>
      <w:spacing w:after="40" w:before="40"/>
    </w:pPr>
    <w:rPr>
      <w:rFonts w:ascii="Arial" w:cs="Arial" w:hAnsi="Arial"/>
      <w:snapToGrid w:val="1"/>
      <w:sz w:val="22"/>
    </w:rPr>
  </w:style>
  <w:style w:type="table" w:styleId="TableGrid">
    <w:name w:val="Table Grid"/>
    <w:basedOn w:val="TableNormal"/>
    <w:uiPriority w:val="59"/>
    <w:rsid w:val="008808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1" Type="http://schemas.openxmlformats.org/officeDocument/2006/relationships/font" Target="fonts/CGTimes-italic.ttf"/><Relationship Id="rId10" Type="http://schemas.openxmlformats.org/officeDocument/2006/relationships/font" Target="fonts/CGTimes-bold.ttf"/><Relationship Id="rId12" Type="http://schemas.openxmlformats.org/officeDocument/2006/relationships/font" Target="fonts/CGTimes-boldItalic.ttf"/><Relationship Id="rId9" Type="http://schemas.openxmlformats.org/officeDocument/2006/relationships/font" Target="fonts/CGTimes-regular.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BwwtGaKlSA+4P4DEh6zfnsImw==">AMUW2mVEYL94DC55iZITvfyDK8PbyS9TOVNGtaMunOI7Pd+3l5VAMxHUJXw9+Oi0cMHP1jSWfM9v7D3wyvkDRXzN3uafwSPaNVPVCI3VFQm70wqMIgn3NRSs3GM2GYuEdyTlgtNkrk3i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2020-02-21T16:09:00Z</dcterms:created>
</cp:coreProperties>
</file>