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2286000" cy="723900"/>
            <wp:effectExtent t="0" r="0" b="0" l="0"/>
            <wp:docPr id="1" name="logo" descr="Feirando logo" title="Feirando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12846"/>
          <w:sz w:val="40"/>
          <w:szCs w:val="40"/>
        </w:rPr>
        <w:t xml:space="preserve">Business Model</w:t>
      </w:r>
    </w:p>
    <w:p>
      <w:pPr>
        <w:pBdr>
          <w:left w:val="single" w:color="B79F81" w:sz="24" w:space="8"/>
        </w:pBdr>
        <w:shd w:fill="F4F1E9" w:color="auto" w:val="clear"/>
        <w:spacing w:after="100" w:before="80"/>
      </w:pPr>
      <w:r>
        <w:rPr>
          <w:rFonts w:ascii="Calibri" w:cs="Calibri" w:eastAsia="Calibri" w:hAnsi="Calibri"/>
          <w:b/>
          <w:bCs/>
          <w:color w:val="112846"/>
          <w:sz w:val="21"/>
          <w:szCs w:val="21"/>
        </w:rPr>
        <w:t xml:space="preserve">Data source note: </w:t>
      </w:r>
      <w:r>
        <w:rPr>
          <w:rFonts w:ascii="Calibri" w:cs="Calibri" w:eastAsia="Calibri" w:hAnsi="Calibri"/>
          <w:sz w:val="21"/>
          <w:szCs w:val="21"/>
        </w:rPr>
        <w:t xml:space="preserve">Feirando is a fictional company created for this case study. All order, customer, seller, product and review data comes from the public Olist Brazilian E-Commerce dataset (2016-2018), used under its published license with credit to Olist.</w:t>
      </w:r>
    </w:p>
    <w:p>
      <w:pPr>
        <w:pStyle w:val="Heading1"/>
        <w:pBdr>
          <w:bottom w:val="single" w:color="B79F81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12846"/>
          <w:sz w:val="28"/>
          <w:szCs w:val="28"/>
        </w:rPr>
        <w:t xml:space="preserve">1. Overview</w:t>
      </w:r>
    </w:p>
    <w:p>
      <w:pPr>
        <w:spacing w:after="90" w:line="252"/>
      </w:pPr>
      <w:r>
        <w:rPr>
          <w:rFonts w:ascii="Calibri" w:cs="Calibri" w:eastAsia="Calibri" w:hAnsi="Calibri"/>
          <w:sz w:val="22"/>
          <w:szCs w:val="22"/>
        </w:rPr>
        <w:t xml:space="preserve">Feirando is an online marketplace in Brazil where independent sellers list products across many categories and shoppers buy them in one place. The company's promise is a reliable, satisfying shopping experience, from order to delivery.</w:t>
      </w:r>
    </w:p>
    <w:p>
      <w:pPr>
        <w:pStyle w:val="Heading1"/>
        <w:pBdr>
          <w:bottom w:val="single" w:color="B79F81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12846"/>
          <w:sz w:val="28"/>
          <w:szCs w:val="28"/>
        </w:rPr>
        <w:t xml:space="preserve">2. Customers and value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Sellers: </w:t>
      </w:r>
      <w:r>
        <w:rPr>
          <w:rFonts w:ascii="Calibri" w:cs="Calibri" w:eastAsia="Calibri" w:hAnsi="Calibri"/>
          <w:sz w:val="22"/>
          <w:szCs w:val="22"/>
        </w:rPr>
        <w:t xml:space="preserve">get an established storefront, a customer base, and tools to run their business (order management, ERP integration, analytics).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Shoppers: </w:t>
      </w:r>
      <w:r>
        <w:rPr>
          <w:rFonts w:ascii="Calibri" w:cs="Calibri" w:eastAsia="Calibri" w:hAnsi="Calibri"/>
          <w:sz w:val="22"/>
          <w:szCs w:val="22"/>
        </w:rPr>
        <w:t xml:space="preserve">get wide choice, trusted sellers, and dependable delivery.</w:t>
      </w:r>
    </w:p>
    <w:p>
      <w:pPr>
        <w:pStyle w:val="Heading1"/>
        <w:pBdr>
          <w:bottom w:val="single" w:color="B79F81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12846"/>
          <w:sz w:val="28"/>
          <w:szCs w:val="28"/>
        </w:rPr>
        <w:t xml:space="preserve">3. Revenue model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Commission: </w:t>
      </w:r>
      <w:r>
        <w:rPr>
          <w:rFonts w:ascii="Calibri" w:cs="Calibri" w:eastAsia="Calibri" w:hAnsi="Calibri"/>
          <w:sz w:val="22"/>
          <w:szCs w:val="22"/>
        </w:rPr>
        <w:t xml:space="preserve">a percentage of each completed sale (core revenue).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Seller subscriptions: </w:t>
      </w:r>
      <w:r>
        <w:rPr>
          <w:rFonts w:ascii="Calibri" w:cs="Calibri" w:eastAsia="Calibri" w:hAnsi="Calibri"/>
          <w:sz w:val="22"/>
          <w:szCs w:val="22"/>
        </w:rPr>
        <w:t xml:space="preserve">monthly fees for seller accounts.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Fulfillment services (optional): </w:t>
      </w:r>
      <w:r>
        <w:rPr>
          <w:rFonts w:ascii="Calibri" w:cs="Calibri" w:eastAsia="Calibri" w:hAnsi="Calibri"/>
          <w:sz w:val="22"/>
          <w:szCs w:val="22"/>
        </w:rPr>
        <w:t xml:space="preserve">packing, delivery and returns handling, charged to sellers who want them.</w:t>
      </w:r>
    </w:p>
    <w:p>
      <w:pPr>
        <w:pStyle w:val="Heading1"/>
        <w:pBdr>
          <w:bottom w:val="single" w:color="B79F81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12846"/>
          <w:sz w:val="28"/>
          <w:szCs w:val="28"/>
        </w:rPr>
        <w:t xml:space="preserve">4. Money flow</w:t>
      </w:r>
    </w:p>
    <w:p>
      <w:pPr>
        <w:spacing w:after="90" w:line="252"/>
      </w:pPr>
      <w:r>
        <w:rPr>
          <w:rFonts w:ascii="Calibri" w:cs="Calibri" w:eastAsia="Calibri" w:hAnsi="Calibri"/>
          <w:sz w:val="22"/>
          <w:szCs w:val="22"/>
        </w:rPr>
        <w:t xml:space="preserve">The shopper pays the product price plus shipping. Feirando keeps its commission and passes the rest to the seller. When a seller uses its own logistics partner, only the commission applies. When Feirando handles fulfillment, a fulfillment fee is added.</w:t>
      </w:r>
    </w:p>
    <w:p>
      <w:pPr>
        <w:pStyle w:val="Heading1"/>
        <w:pBdr>
          <w:bottom w:val="single" w:color="B79F81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12846"/>
          <w:sz w:val="28"/>
          <w:szCs w:val="28"/>
        </w:rPr>
        <w:t xml:space="preserve">5. Key risks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Experience risk: </w:t>
      </w:r>
      <w:r>
        <w:rPr>
          <w:rFonts w:ascii="Calibri" w:cs="Calibri" w:eastAsia="Calibri" w:hAnsi="Calibri"/>
          <w:sz w:val="22"/>
          <w:szCs w:val="22"/>
        </w:rPr>
        <w:t xml:space="preserve">late deliveries, poor quality or fake products damage shopper trust and the marketplace's reputation.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Seller risk: </w:t>
      </w:r>
      <w:r>
        <w:rPr>
          <w:rFonts w:ascii="Calibri" w:cs="Calibri" w:eastAsia="Calibri" w:hAnsi="Calibri"/>
          <w:sz w:val="22"/>
          <w:szCs w:val="22"/>
        </w:rPr>
        <w:t xml:space="preserve">sellers can list on competing marketplaces, so Feirando must keep offering them value.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Retention risk: </w:t>
      </w:r>
      <w:r>
        <w:rPr>
          <w:rFonts w:ascii="Calibri" w:cs="Calibri" w:eastAsia="Calibri" w:hAnsi="Calibri"/>
          <w:sz w:val="22"/>
          <w:szCs w:val="22"/>
        </w:rPr>
        <w:t xml:space="preserve">shoppers who buy once and do not return make growth expensive.</w:t>
      </w:r>
    </w:p>
    <w:p>
      <w:pPr>
        <w:pStyle w:val="Heading1"/>
        <w:pBdr>
          <w:bottom w:val="single" w:color="B79F81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12846"/>
          <w:sz w:val="28"/>
          <w:szCs w:val="28"/>
        </w:rPr>
        <w:t xml:space="preserve">6. Role of the analytics team</w:t>
      </w:r>
    </w:p>
    <w:p>
      <w:pPr>
        <w:spacing w:after="90" w:line="252"/>
      </w:pPr>
      <w:r>
        <w:rPr>
          <w:rFonts w:ascii="Calibri" w:cs="Calibri" w:eastAsia="Calibri" w:hAnsi="Calibri"/>
          <w:sz w:val="22"/>
          <w:szCs w:val="22"/>
        </w:rPr>
        <w:t xml:space="preserve">Help leadership understand where the shopper experience breaks down and which sellers, regions and categories drive satisfaction and repeat business, and recommend actions with a measurable impact.</w:t>
      </w:r>
    </w:p>
    <w:p>
      <w:pPr>
        <w:pStyle w:val="Heading1"/>
        <w:pBdr>
          <w:bottom w:val="single" w:color="B79F81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12846"/>
          <w:sz w:val="28"/>
          <w:szCs w:val="28"/>
        </w:rPr>
        <w:t xml:space="preserve">7. Data bridge</w:t>
      </w:r>
    </w:p>
    <w:p>
      <w:pPr>
        <w:spacing w:after="90" w:line="252"/>
      </w:pPr>
      <w:r>
        <w:rPr>
          <w:rFonts w:ascii="Calibri" w:cs="Calibri" w:eastAsia="Calibri" w:hAnsi="Calibri"/>
          <w:sz w:val="22"/>
          <w:szCs w:val="22"/>
        </w:rPr>
        <w:t xml:space="preserve">Any financial figure that depends on the items in the right-hand column will be a clearly labelled assumption.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FC3B0" w:sz="4"/>
              <w:left w:val="single" w:color="CFC3B0" w:sz="4"/>
              <w:bottom w:val="single" w:color="CFC3B0" w:sz="4"/>
              <w:right w:val="single" w:color="CFC3B0" w:sz="4"/>
            </w:tcBorders>
            <w:shd w:fill="112846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we can see in the data</w:t>
            </w:r>
          </w:p>
        </w:tc>
        <w:tc>
          <w:tcPr>
            <w:tcW w:type="dxa" w:w="4680"/>
            <w:tcBorders>
              <w:top w:val="single" w:color="CFC3B0" w:sz="4"/>
              <w:left w:val="single" w:color="CFC3B0" w:sz="4"/>
              <w:bottom w:val="single" w:color="CFC3B0" w:sz="4"/>
              <w:right w:val="single" w:color="CFC3B0" w:sz="4"/>
            </w:tcBorders>
            <w:shd w:fill="112846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we cannot see</w:t>
            </w:r>
          </w:p>
        </w:tc>
      </w:tr>
      <w:tr>
        <w:tc>
          <w:tcPr>
            <w:tcW w:type="dxa" w:w="4680"/>
            <w:tcBorders>
              <w:top w:val="single" w:color="CFC3B0" w:sz="4"/>
              <w:left w:val="single" w:color="CFC3B0" w:sz="4"/>
              <w:bottom w:val="single" w:color="CFC3B0" w:sz="4"/>
              <w:right w:val="single" w:color="CFC3B0" w:sz="4"/>
            </w:tcBorders>
            <w:shd w:fill="F4F1E9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Orders, order items, prices and freight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Payments and instalments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Promised vs actual delivery dates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Customer reviews and scores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Sellers, products and categories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Locations of shoppers and sellers</w:t>
            </w:r>
          </w:p>
        </w:tc>
        <w:tc>
          <w:tcPr>
            <w:tcW w:type="dxa" w:w="4680"/>
            <w:tcBorders>
              <w:top w:val="single" w:color="CFC3B0" w:sz="4"/>
              <w:left w:val="single" w:color="CFC3B0" w:sz="4"/>
              <w:bottom w:val="single" w:color="CFC3B0" w:sz="4"/>
              <w:right w:val="single" w:color="CFC3B0" w:sz="4"/>
            </w:tcBorders>
            <w:shd w:fill="EFE7DC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Feirando's commission rate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Subscription and fulfillment revenue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Who handled logistics (seller or platform)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Seller activity on other marketplaces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Product authenticity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 spend or traffic sources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60" w:right="1273" w:bottom="8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Feirando | Case study by Mohammed Adnan | 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3629025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953000" cy="3629025"/>
          <wp:effectExtent t="0" r="0" b="0" l="0"/>
          <wp:wrapNone/>
          <wp:docPr id="1" name="wm" descr="Watermark" title="Water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0" cy="3629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510dca1d664fa703370ee3857dd399235b42ac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5d33b800557621f35c0d182f342b3dfc7d8535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Feirando - Business Model</dc:title>
  <dc:creator>Mohammed Adnan</dc:creator>
  <cp:lastModifiedBy>Un-named</cp:lastModifiedBy>
  <cp:revision>1</cp:revision>
  <dcterms:created xsi:type="dcterms:W3CDTF">2026-10-15T19:19:24.710Z</dcterms:created>
  <dcterms:modified xsi:type="dcterms:W3CDTF">2026-10-15T19:19:24.710Z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