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1C5D2" w14:textId="77777777" w:rsidR="00AD4FB1" w:rsidRDefault="00000000">
      <w:pPr>
        <w:spacing w:after="100"/>
      </w:pPr>
      <w:r>
        <w:rPr>
          <w:noProof/>
        </w:rPr>
        <w:drawing>
          <wp:inline distT="0" distB="0" distL="0" distR="0" wp14:anchorId="31609341" wp14:editId="60FDE87D">
            <wp:extent cx="2286000" cy="723900"/>
            <wp:effectExtent l="0" t="0" r="0" b="0"/>
            <wp:docPr id="1" name="logo" descr="Feirando logo" title="Feirand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723900"/>
                    </a:xfrm>
                    <a:prstGeom prst="rect">
                      <a:avLst/>
                    </a:prstGeom>
                  </pic:spPr>
                </pic:pic>
              </a:graphicData>
            </a:graphic>
          </wp:inline>
        </w:drawing>
      </w:r>
    </w:p>
    <w:p w14:paraId="2DDF0586" w14:textId="77777777" w:rsidR="00AD4FB1" w:rsidRDefault="00000000">
      <w:pPr>
        <w:spacing w:before="100" w:after="60"/>
      </w:pPr>
      <w:r>
        <w:rPr>
          <w:rFonts w:ascii="Calibri" w:eastAsia="Calibri" w:hAnsi="Calibri" w:cs="Calibri"/>
          <w:b/>
          <w:bCs/>
          <w:color w:val="112846"/>
          <w:sz w:val="40"/>
          <w:szCs w:val="40"/>
        </w:rPr>
        <w:t>KPI Framework</w:t>
      </w:r>
    </w:p>
    <w:p w14:paraId="3A631A99" w14:textId="77777777" w:rsidR="00AD4FB1" w:rsidRDefault="00000000">
      <w:pPr>
        <w:pStyle w:val="Heading1"/>
        <w:keepNext/>
        <w:pBdr>
          <w:bottom w:val="single" w:sz="6" w:space="2" w:color="B79F81"/>
        </w:pBdr>
        <w:spacing w:before="240" w:after="90"/>
      </w:pPr>
      <w:r>
        <w:rPr>
          <w:rFonts w:ascii="Calibri" w:eastAsia="Calibri" w:hAnsi="Calibri" w:cs="Calibri"/>
          <w:b/>
          <w:bCs/>
          <w:color w:val="112846"/>
          <w:sz w:val="28"/>
          <w:szCs w:val="28"/>
        </w:rPr>
        <w:t>1. Purpose</w:t>
      </w:r>
    </w:p>
    <w:p w14:paraId="07004051" w14:textId="77777777" w:rsidR="00AD4FB1" w:rsidRDefault="00000000">
      <w:pPr>
        <w:spacing w:after="110" w:line="264" w:lineRule="auto"/>
      </w:pPr>
      <w:r>
        <w:rPr>
          <w:rFonts w:ascii="Calibri" w:eastAsia="Calibri" w:hAnsi="Calibri" w:cs="Calibri"/>
          <w:sz w:val="22"/>
          <w:szCs w:val="22"/>
        </w:rPr>
        <w:t xml:space="preserve">This document defines the KPIs used to measure </w:t>
      </w:r>
      <w:proofErr w:type="spellStart"/>
      <w:r>
        <w:rPr>
          <w:rFonts w:ascii="Calibri" w:eastAsia="Calibri" w:hAnsi="Calibri" w:cs="Calibri"/>
          <w:sz w:val="22"/>
          <w:szCs w:val="22"/>
        </w:rPr>
        <w:t>Feirando's</w:t>
      </w:r>
      <w:proofErr w:type="spellEnd"/>
      <w:r>
        <w:rPr>
          <w:rFonts w:ascii="Calibri" w:eastAsia="Calibri" w:hAnsi="Calibri" w:cs="Calibri"/>
          <w:sz w:val="22"/>
          <w:szCs w:val="22"/>
        </w:rPr>
        <w:t xml:space="preserve"> marketplace health and shopper experience: what each one answers, how it is calculated, and where the data comes from. The analysis and the dashboard follow these definitions. They are working definitions and will be confirmed during data cleaning and validation.</w:t>
      </w:r>
    </w:p>
    <w:p w14:paraId="2FB02A02" w14:textId="77777777" w:rsidR="00AD4FB1" w:rsidRDefault="00000000">
      <w:pPr>
        <w:pStyle w:val="Heading1"/>
        <w:keepNext/>
        <w:pBdr>
          <w:bottom w:val="single" w:sz="6" w:space="2" w:color="B79F81"/>
        </w:pBdr>
        <w:spacing w:before="240" w:after="90"/>
      </w:pPr>
      <w:r>
        <w:rPr>
          <w:rFonts w:ascii="Calibri" w:eastAsia="Calibri" w:hAnsi="Calibri" w:cs="Calibri"/>
          <w:b/>
          <w:bCs/>
          <w:color w:val="112846"/>
          <w:sz w:val="28"/>
          <w:szCs w:val="28"/>
        </w:rPr>
        <w:t>2. KPI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50"/>
        <w:gridCol w:w="3010"/>
        <w:gridCol w:w="2800"/>
      </w:tblGrid>
      <w:tr w:rsidR="00AD4FB1" w14:paraId="2A117201" w14:textId="77777777">
        <w:tblPrEx>
          <w:tblCellMar>
            <w:top w:w="0" w:type="dxa"/>
            <w:bottom w:w="0" w:type="dxa"/>
          </w:tblCellMar>
        </w:tblPrEx>
        <w:trPr>
          <w:tblHeader/>
        </w:trPr>
        <w:tc>
          <w:tcPr>
            <w:tcW w:w="1600" w:type="dxa"/>
            <w:tcBorders>
              <w:top w:val="single" w:sz="4" w:space="0" w:color="CFC3B0"/>
              <w:left w:val="single" w:sz="4" w:space="0" w:color="CFC3B0"/>
              <w:bottom w:val="single" w:sz="4" w:space="0" w:color="CFC3B0"/>
              <w:right w:val="single" w:sz="4" w:space="0" w:color="CFC3B0"/>
            </w:tcBorders>
            <w:shd w:val="clear" w:color="auto" w:fill="112846"/>
            <w:tcMar>
              <w:top w:w="70" w:type="dxa"/>
              <w:left w:w="110" w:type="dxa"/>
              <w:bottom w:w="70" w:type="dxa"/>
              <w:right w:w="110" w:type="dxa"/>
            </w:tcMar>
          </w:tcPr>
          <w:p w14:paraId="14486C9D" w14:textId="77777777" w:rsidR="00AD4FB1" w:rsidRDefault="00000000">
            <w:pPr>
              <w:spacing w:after="30"/>
            </w:pPr>
            <w:r>
              <w:rPr>
                <w:rFonts w:ascii="Calibri" w:eastAsia="Calibri" w:hAnsi="Calibri" w:cs="Calibri"/>
                <w:b/>
                <w:bCs/>
                <w:color w:val="FFFFFF"/>
              </w:rPr>
              <w:t>KPI</w:t>
            </w:r>
          </w:p>
        </w:tc>
        <w:tc>
          <w:tcPr>
            <w:tcW w:w="1950" w:type="dxa"/>
            <w:tcBorders>
              <w:top w:val="single" w:sz="4" w:space="0" w:color="CFC3B0"/>
              <w:left w:val="single" w:sz="4" w:space="0" w:color="CFC3B0"/>
              <w:bottom w:val="single" w:sz="4" w:space="0" w:color="CFC3B0"/>
              <w:right w:val="single" w:sz="4" w:space="0" w:color="CFC3B0"/>
            </w:tcBorders>
            <w:shd w:val="clear" w:color="auto" w:fill="112846"/>
            <w:tcMar>
              <w:top w:w="70" w:type="dxa"/>
              <w:left w:w="110" w:type="dxa"/>
              <w:bottom w:w="70" w:type="dxa"/>
              <w:right w:w="110" w:type="dxa"/>
            </w:tcMar>
          </w:tcPr>
          <w:p w14:paraId="397B8D5D" w14:textId="77777777" w:rsidR="00AD4FB1" w:rsidRDefault="00000000">
            <w:pPr>
              <w:spacing w:after="30"/>
            </w:pPr>
            <w:r>
              <w:rPr>
                <w:rFonts w:ascii="Calibri" w:eastAsia="Calibri" w:hAnsi="Calibri" w:cs="Calibri"/>
                <w:b/>
                <w:bCs/>
                <w:color w:val="FFFFFF"/>
              </w:rPr>
              <w:t>Question it answers</w:t>
            </w:r>
          </w:p>
        </w:tc>
        <w:tc>
          <w:tcPr>
            <w:tcW w:w="3010" w:type="dxa"/>
            <w:tcBorders>
              <w:top w:val="single" w:sz="4" w:space="0" w:color="CFC3B0"/>
              <w:left w:val="single" w:sz="4" w:space="0" w:color="CFC3B0"/>
              <w:bottom w:val="single" w:sz="4" w:space="0" w:color="CFC3B0"/>
              <w:right w:val="single" w:sz="4" w:space="0" w:color="CFC3B0"/>
            </w:tcBorders>
            <w:shd w:val="clear" w:color="auto" w:fill="112846"/>
            <w:tcMar>
              <w:top w:w="70" w:type="dxa"/>
              <w:left w:w="110" w:type="dxa"/>
              <w:bottom w:w="70" w:type="dxa"/>
              <w:right w:w="110" w:type="dxa"/>
            </w:tcMar>
          </w:tcPr>
          <w:p w14:paraId="53EB09D1" w14:textId="77777777" w:rsidR="00AD4FB1" w:rsidRDefault="00000000">
            <w:pPr>
              <w:spacing w:after="30"/>
            </w:pPr>
            <w:r>
              <w:rPr>
                <w:rFonts w:ascii="Calibri" w:eastAsia="Calibri" w:hAnsi="Calibri" w:cs="Calibri"/>
                <w:b/>
                <w:bCs/>
                <w:color w:val="FFFFFF"/>
              </w:rPr>
              <w:t>How it is calculated</w:t>
            </w:r>
          </w:p>
        </w:tc>
        <w:tc>
          <w:tcPr>
            <w:tcW w:w="2800" w:type="dxa"/>
            <w:tcBorders>
              <w:top w:val="single" w:sz="4" w:space="0" w:color="CFC3B0"/>
              <w:left w:val="single" w:sz="4" w:space="0" w:color="CFC3B0"/>
              <w:bottom w:val="single" w:sz="4" w:space="0" w:color="CFC3B0"/>
              <w:right w:val="single" w:sz="4" w:space="0" w:color="CFC3B0"/>
            </w:tcBorders>
            <w:shd w:val="clear" w:color="auto" w:fill="112846"/>
            <w:tcMar>
              <w:top w:w="70" w:type="dxa"/>
              <w:left w:w="110" w:type="dxa"/>
              <w:bottom w:w="70" w:type="dxa"/>
              <w:right w:w="110" w:type="dxa"/>
            </w:tcMar>
          </w:tcPr>
          <w:p w14:paraId="7AE47961" w14:textId="77777777" w:rsidR="00AD4FB1" w:rsidRDefault="00000000">
            <w:pPr>
              <w:spacing w:after="30"/>
            </w:pPr>
            <w:r>
              <w:rPr>
                <w:rFonts w:ascii="Calibri" w:eastAsia="Calibri" w:hAnsi="Calibri" w:cs="Calibri"/>
                <w:b/>
                <w:bCs/>
                <w:color w:val="FFFFFF"/>
              </w:rPr>
              <w:t>Data source</w:t>
            </w:r>
          </w:p>
        </w:tc>
      </w:tr>
      <w:tr w:rsidR="00AD4FB1" w14:paraId="33EADA8C" w14:textId="77777777">
        <w:tblPrEx>
          <w:tblCellMar>
            <w:top w:w="0" w:type="dxa"/>
            <w:bottom w:w="0" w:type="dxa"/>
          </w:tblCellMar>
        </w:tblPrEx>
        <w:trPr>
          <w:cantSplit/>
        </w:trPr>
        <w:tc>
          <w:tcPr>
            <w:tcW w:w="160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7A4F5C43" w14:textId="77777777" w:rsidR="00AD4FB1" w:rsidRDefault="00000000">
            <w:pPr>
              <w:spacing w:after="30"/>
            </w:pPr>
            <w:r>
              <w:rPr>
                <w:rFonts w:ascii="Calibri" w:eastAsia="Calibri" w:hAnsi="Calibri" w:cs="Calibri"/>
                <w:b/>
                <w:bCs/>
                <w:color w:val="112846"/>
              </w:rPr>
              <w:t>Orders</w:t>
            </w:r>
          </w:p>
          <w:p w14:paraId="5193769E" w14:textId="77777777" w:rsidR="00AD4FB1" w:rsidRDefault="00000000">
            <w:pPr>
              <w:spacing w:after="30"/>
            </w:pPr>
            <w:r>
              <w:rPr>
                <w:rFonts w:ascii="Calibri" w:eastAsia="Calibri" w:hAnsi="Calibri" w:cs="Calibri"/>
                <w:i/>
                <w:iCs/>
                <w:color w:val="555555"/>
                <w:sz w:val="17"/>
                <w:szCs w:val="17"/>
              </w:rPr>
              <w:t>Size | Lagging</w:t>
            </w:r>
          </w:p>
        </w:tc>
        <w:tc>
          <w:tcPr>
            <w:tcW w:w="195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213A640A" w14:textId="77777777" w:rsidR="00AD4FB1" w:rsidRDefault="00000000">
            <w:pPr>
              <w:spacing w:after="30"/>
            </w:pPr>
            <w:r>
              <w:rPr>
                <w:rFonts w:ascii="Calibri" w:eastAsia="Calibri" w:hAnsi="Calibri" w:cs="Calibri"/>
                <w:sz w:val="19"/>
                <w:szCs w:val="19"/>
              </w:rPr>
              <w:t>How much demand does Feirando get?</w:t>
            </w:r>
          </w:p>
        </w:tc>
        <w:tc>
          <w:tcPr>
            <w:tcW w:w="301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581CA8E6" w14:textId="77777777" w:rsidR="00AD4FB1" w:rsidRDefault="00000000">
            <w:pPr>
              <w:spacing w:after="30"/>
            </w:pPr>
            <w:r>
              <w:rPr>
                <w:rFonts w:ascii="Calibri" w:eastAsia="Calibri" w:hAnsi="Calibri" w:cs="Calibri"/>
                <w:sz w:val="19"/>
                <w:szCs w:val="19"/>
              </w:rPr>
              <w:t>Count of distinct orders placed. Canceled and unavailable orders are excluded from revenue-type KPIs.</w:t>
            </w:r>
          </w:p>
        </w:tc>
        <w:tc>
          <w:tcPr>
            <w:tcW w:w="280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5E887484" w14:textId="77777777" w:rsidR="00AD4FB1" w:rsidRDefault="00000000">
            <w:pPr>
              <w:spacing w:after="30"/>
            </w:pPr>
            <w:r>
              <w:rPr>
                <w:rFonts w:ascii="Calibri" w:eastAsia="Calibri" w:hAnsi="Calibri" w:cs="Calibri"/>
                <w:color w:val="555555"/>
                <w:sz w:val="18"/>
                <w:szCs w:val="18"/>
              </w:rPr>
              <w:t xml:space="preserve">orders: </w:t>
            </w:r>
            <w:proofErr w:type="spellStart"/>
            <w:r>
              <w:rPr>
                <w:rFonts w:ascii="Calibri" w:eastAsia="Calibri" w:hAnsi="Calibri" w:cs="Calibri"/>
                <w:color w:val="555555"/>
                <w:sz w:val="18"/>
                <w:szCs w:val="18"/>
              </w:rPr>
              <w:t>order_id</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order_status</w:t>
            </w:r>
            <w:proofErr w:type="spellEnd"/>
          </w:p>
        </w:tc>
      </w:tr>
      <w:tr w:rsidR="00AD4FB1" w14:paraId="326033DB" w14:textId="77777777">
        <w:tblPrEx>
          <w:tblCellMar>
            <w:top w:w="0" w:type="dxa"/>
            <w:bottom w:w="0" w:type="dxa"/>
          </w:tblCellMar>
        </w:tblPrEx>
        <w:trPr>
          <w:cantSplit/>
        </w:trPr>
        <w:tc>
          <w:tcPr>
            <w:tcW w:w="160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53CF0A98" w14:textId="77777777" w:rsidR="00AD4FB1" w:rsidRDefault="00000000">
            <w:pPr>
              <w:spacing w:after="30"/>
            </w:pPr>
            <w:r>
              <w:rPr>
                <w:rFonts w:ascii="Calibri" w:eastAsia="Calibri" w:hAnsi="Calibri" w:cs="Calibri"/>
                <w:b/>
                <w:bCs/>
                <w:color w:val="112846"/>
              </w:rPr>
              <w:t>AOV (average order value)</w:t>
            </w:r>
          </w:p>
          <w:p w14:paraId="48D64BF9" w14:textId="77777777" w:rsidR="00AD4FB1" w:rsidRDefault="00000000">
            <w:pPr>
              <w:spacing w:after="30"/>
            </w:pPr>
            <w:r>
              <w:rPr>
                <w:rFonts w:ascii="Calibri" w:eastAsia="Calibri" w:hAnsi="Calibri" w:cs="Calibri"/>
                <w:i/>
                <w:iCs/>
                <w:color w:val="555555"/>
                <w:sz w:val="17"/>
                <w:szCs w:val="17"/>
              </w:rPr>
              <w:t>Size | Lagging</w:t>
            </w:r>
          </w:p>
        </w:tc>
        <w:tc>
          <w:tcPr>
            <w:tcW w:w="195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602D78BB" w14:textId="77777777" w:rsidR="00AD4FB1" w:rsidRDefault="00000000">
            <w:pPr>
              <w:spacing w:after="30"/>
            </w:pPr>
            <w:r>
              <w:rPr>
                <w:rFonts w:ascii="Calibri" w:eastAsia="Calibri" w:hAnsi="Calibri" w:cs="Calibri"/>
                <w:sz w:val="19"/>
                <w:szCs w:val="19"/>
              </w:rPr>
              <w:t>How much does a typical order bring in?</w:t>
            </w:r>
          </w:p>
        </w:tc>
        <w:tc>
          <w:tcPr>
            <w:tcW w:w="301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4B7D7FA4" w14:textId="77777777" w:rsidR="00AD4FB1" w:rsidRDefault="00000000">
            <w:pPr>
              <w:spacing w:after="30"/>
            </w:pPr>
            <w:r>
              <w:rPr>
                <w:rFonts w:ascii="Calibri" w:eastAsia="Calibri" w:hAnsi="Calibri" w:cs="Calibri"/>
                <w:sz w:val="19"/>
                <w:szCs w:val="19"/>
              </w:rPr>
              <w:t>GMV divided by orders. Item prices are summed per order first; freight is reported separately.</w:t>
            </w:r>
          </w:p>
        </w:tc>
        <w:tc>
          <w:tcPr>
            <w:tcW w:w="280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28968B06" w14:textId="77777777" w:rsidR="00AD4FB1" w:rsidRDefault="00000000">
            <w:pPr>
              <w:spacing w:after="30"/>
            </w:pPr>
            <w:proofErr w:type="spellStart"/>
            <w:r>
              <w:rPr>
                <w:rFonts w:ascii="Calibri" w:eastAsia="Calibri" w:hAnsi="Calibri" w:cs="Calibri"/>
                <w:color w:val="555555"/>
                <w:sz w:val="18"/>
                <w:szCs w:val="18"/>
              </w:rPr>
              <w:t>order_items</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order_id</w:t>
            </w:r>
            <w:proofErr w:type="spellEnd"/>
            <w:r>
              <w:rPr>
                <w:rFonts w:ascii="Calibri" w:eastAsia="Calibri" w:hAnsi="Calibri" w:cs="Calibri"/>
                <w:color w:val="555555"/>
                <w:sz w:val="18"/>
                <w:szCs w:val="18"/>
              </w:rPr>
              <w:t xml:space="preserve">, price, </w:t>
            </w:r>
            <w:proofErr w:type="spellStart"/>
            <w:r>
              <w:rPr>
                <w:rFonts w:ascii="Calibri" w:eastAsia="Calibri" w:hAnsi="Calibri" w:cs="Calibri"/>
                <w:color w:val="555555"/>
                <w:sz w:val="18"/>
                <w:szCs w:val="18"/>
              </w:rPr>
              <w:t>freight_value</w:t>
            </w:r>
            <w:proofErr w:type="spellEnd"/>
          </w:p>
        </w:tc>
      </w:tr>
      <w:tr w:rsidR="00AD4FB1" w14:paraId="60F268CB" w14:textId="77777777">
        <w:tblPrEx>
          <w:tblCellMar>
            <w:top w:w="0" w:type="dxa"/>
            <w:bottom w:w="0" w:type="dxa"/>
          </w:tblCellMar>
        </w:tblPrEx>
        <w:trPr>
          <w:cantSplit/>
        </w:trPr>
        <w:tc>
          <w:tcPr>
            <w:tcW w:w="160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2FB227C2" w14:textId="77777777" w:rsidR="00AD4FB1" w:rsidRDefault="00000000">
            <w:pPr>
              <w:spacing w:after="30"/>
            </w:pPr>
            <w:r>
              <w:rPr>
                <w:rFonts w:ascii="Calibri" w:eastAsia="Calibri" w:hAnsi="Calibri" w:cs="Calibri"/>
                <w:b/>
                <w:bCs/>
                <w:color w:val="112846"/>
              </w:rPr>
              <w:t>On-time delivery rate</w:t>
            </w:r>
          </w:p>
          <w:p w14:paraId="60AC1717" w14:textId="77777777" w:rsidR="00AD4FB1" w:rsidRDefault="00000000">
            <w:pPr>
              <w:spacing w:after="30"/>
            </w:pPr>
            <w:r>
              <w:rPr>
                <w:rFonts w:ascii="Calibri" w:eastAsia="Calibri" w:hAnsi="Calibri" w:cs="Calibri"/>
                <w:i/>
                <w:iCs/>
                <w:color w:val="555555"/>
                <w:sz w:val="17"/>
                <w:szCs w:val="17"/>
              </w:rPr>
              <w:t>Experience | Leading, for review score</w:t>
            </w:r>
          </w:p>
        </w:tc>
        <w:tc>
          <w:tcPr>
            <w:tcW w:w="195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44FEB07C" w14:textId="77777777" w:rsidR="00AD4FB1" w:rsidRDefault="00000000">
            <w:pPr>
              <w:spacing w:after="30"/>
            </w:pPr>
            <w:r>
              <w:rPr>
                <w:rFonts w:ascii="Calibri" w:eastAsia="Calibri" w:hAnsi="Calibri" w:cs="Calibri"/>
                <w:sz w:val="19"/>
                <w:szCs w:val="19"/>
              </w:rPr>
              <w:t>Are we keeping our delivery promise?</w:t>
            </w:r>
          </w:p>
        </w:tc>
        <w:tc>
          <w:tcPr>
            <w:tcW w:w="301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79C56ACC" w14:textId="77777777" w:rsidR="00AD4FB1" w:rsidRDefault="00000000">
            <w:pPr>
              <w:spacing w:after="30"/>
            </w:pPr>
            <w:r>
              <w:rPr>
                <w:rFonts w:ascii="Calibri" w:eastAsia="Calibri" w:hAnsi="Calibri" w:cs="Calibri"/>
                <w:sz w:val="19"/>
                <w:szCs w:val="19"/>
              </w:rPr>
              <w:t>Delivered orders arriving on or before the estimated date, divided by all delivered orders. Dates are compared by day.</w:t>
            </w:r>
          </w:p>
        </w:tc>
        <w:tc>
          <w:tcPr>
            <w:tcW w:w="280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259F0793" w14:textId="77777777" w:rsidR="00AD4FB1" w:rsidRDefault="00000000">
            <w:pPr>
              <w:spacing w:after="30"/>
            </w:pPr>
            <w:r>
              <w:rPr>
                <w:rFonts w:ascii="Calibri" w:eastAsia="Calibri" w:hAnsi="Calibri" w:cs="Calibri"/>
                <w:color w:val="555555"/>
                <w:sz w:val="18"/>
                <w:szCs w:val="18"/>
              </w:rPr>
              <w:t xml:space="preserve">orders: </w:t>
            </w:r>
            <w:proofErr w:type="spellStart"/>
            <w:r>
              <w:rPr>
                <w:rFonts w:ascii="Calibri" w:eastAsia="Calibri" w:hAnsi="Calibri" w:cs="Calibri"/>
                <w:color w:val="555555"/>
                <w:sz w:val="18"/>
                <w:szCs w:val="18"/>
              </w:rPr>
              <w:t>order_delivered_customer_date</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order_estimated_delivery_date</w:t>
            </w:r>
            <w:proofErr w:type="spellEnd"/>
          </w:p>
        </w:tc>
      </w:tr>
      <w:tr w:rsidR="00AD4FB1" w14:paraId="21ED7333" w14:textId="77777777">
        <w:tblPrEx>
          <w:tblCellMar>
            <w:top w:w="0" w:type="dxa"/>
            <w:bottom w:w="0" w:type="dxa"/>
          </w:tblCellMar>
        </w:tblPrEx>
        <w:trPr>
          <w:cantSplit/>
        </w:trPr>
        <w:tc>
          <w:tcPr>
            <w:tcW w:w="160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4EAB1E25" w14:textId="77777777" w:rsidR="00AD4FB1" w:rsidRDefault="00000000">
            <w:pPr>
              <w:spacing w:after="30"/>
            </w:pPr>
            <w:r>
              <w:rPr>
                <w:rFonts w:ascii="Calibri" w:eastAsia="Calibri" w:hAnsi="Calibri" w:cs="Calibri"/>
                <w:b/>
                <w:bCs/>
                <w:color w:val="112846"/>
              </w:rPr>
              <w:t>Review score</w:t>
            </w:r>
          </w:p>
          <w:p w14:paraId="15B04896" w14:textId="77777777" w:rsidR="00AD4FB1" w:rsidRDefault="00000000">
            <w:pPr>
              <w:spacing w:after="30"/>
            </w:pPr>
            <w:r>
              <w:rPr>
                <w:rFonts w:ascii="Calibri" w:eastAsia="Calibri" w:hAnsi="Calibri" w:cs="Calibri"/>
                <w:i/>
                <w:iCs/>
                <w:color w:val="555555"/>
                <w:sz w:val="17"/>
                <w:szCs w:val="17"/>
              </w:rPr>
              <w:t>Experience | Lagging</w:t>
            </w:r>
          </w:p>
        </w:tc>
        <w:tc>
          <w:tcPr>
            <w:tcW w:w="195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26DD5F7C" w14:textId="77777777" w:rsidR="00AD4FB1" w:rsidRDefault="00000000">
            <w:pPr>
              <w:spacing w:after="30"/>
            </w:pPr>
            <w:r>
              <w:rPr>
                <w:rFonts w:ascii="Calibri" w:eastAsia="Calibri" w:hAnsi="Calibri" w:cs="Calibri"/>
                <w:sz w:val="19"/>
                <w:szCs w:val="19"/>
              </w:rPr>
              <w:t>How satisfied are shoppers?</w:t>
            </w:r>
          </w:p>
        </w:tc>
        <w:tc>
          <w:tcPr>
            <w:tcW w:w="301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15A4EC58" w14:textId="77777777" w:rsidR="00AD4FB1" w:rsidRDefault="00000000">
            <w:pPr>
              <w:spacing w:after="30"/>
            </w:pPr>
            <w:r>
              <w:rPr>
                <w:rFonts w:ascii="Calibri" w:eastAsia="Calibri" w:hAnsi="Calibri" w:cs="Calibri"/>
                <w:sz w:val="19"/>
                <w:szCs w:val="19"/>
              </w:rPr>
              <w:t xml:space="preserve">Average review score (1 to 5) by month, tracked with the share of </w:t>
            </w:r>
            <w:proofErr w:type="gramStart"/>
            <w:r>
              <w:rPr>
                <w:rFonts w:ascii="Calibri" w:eastAsia="Calibri" w:hAnsi="Calibri" w:cs="Calibri"/>
                <w:sz w:val="19"/>
                <w:szCs w:val="19"/>
              </w:rPr>
              <w:t>1 and 2 star</w:t>
            </w:r>
            <w:proofErr w:type="gramEnd"/>
            <w:r>
              <w:rPr>
                <w:rFonts w:ascii="Calibri" w:eastAsia="Calibri" w:hAnsi="Calibri" w:cs="Calibri"/>
                <w:sz w:val="19"/>
                <w:szCs w:val="19"/>
              </w:rPr>
              <w:t xml:space="preserve"> reviews.</w:t>
            </w:r>
          </w:p>
        </w:tc>
        <w:tc>
          <w:tcPr>
            <w:tcW w:w="280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730BACB4" w14:textId="77777777" w:rsidR="00AD4FB1" w:rsidRDefault="00000000">
            <w:pPr>
              <w:spacing w:after="30"/>
            </w:pPr>
            <w:proofErr w:type="spellStart"/>
            <w:r>
              <w:rPr>
                <w:rFonts w:ascii="Calibri" w:eastAsia="Calibri" w:hAnsi="Calibri" w:cs="Calibri"/>
                <w:color w:val="555555"/>
                <w:sz w:val="18"/>
                <w:szCs w:val="18"/>
              </w:rPr>
              <w:t>order_reviews</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review_score</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order_id</w:t>
            </w:r>
            <w:proofErr w:type="spellEnd"/>
          </w:p>
        </w:tc>
      </w:tr>
      <w:tr w:rsidR="00AD4FB1" w14:paraId="0955420F" w14:textId="77777777">
        <w:tblPrEx>
          <w:tblCellMar>
            <w:top w:w="0" w:type="dxa"/>
            <w:bottom w:w="0" w:type="dxa"/>
          </w:tblCellMar>
        </w:tblPrEx>
        <w:trPr>
          <w:cantSplit/>
        </w:trPr>
        <w:tc>
          <w:tcPr>
            <w:tcW w:w="160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2D691E1B" w14:textId="77777777" w:rsidR="00AD4FB1" w:rsidRDefault="00000000">
            <w:pPr>
              <w:spacing w:after="30"/>
            </w:pPr>
            <w:r>
              <w:rPr>
                <w:rFonts w:ascii="Calibri" w:eastAsia="Calibri" w:hAnsi="Calibri" w:cs="Calibri"/>
                <w:b/>
                <w:bCs/>
                <w:color w:val="112846"/>
              </w:rPr>
              <w:t>Active sellers</w:t>
            </w:r>
          </w:p>
          <w:p w14:paraId="34B4BC97" w14:textId="77777777" w:rsidR="00AD4FB1" w:rsidRDefault="00000000">
            <w:pPr>
              <w:spacing w:after="30"/>
            </w:pPr>
            <w:r>
              <w:rPr>
                <w:rFonts w:ascii="Calibri" w:eastAsia="Calibri" w:hAnsi="Calibri" w:cs="Calibri"/>
                <w:i/>
                <w:iCs/>
                <w:color w:val="555555"/>
                <w:sz w:val="17"/>
                <w:szCs w:val="17"/>
              </w:rPr>
              <w:t>Sellers | Leading, for orders</w:t>
            </w:r>
          </w:p>
        </w:tc>
        <w:tc>
          <w:tcPr>
            <w:tcW w:w="195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14B3AAF9" w14:textId="77777777" w:rsidR="00AD4FB1" w:rsidRDefault="00000000">
            <w:pPr>
              <w:spacing w:after="30"/>
            </w:pPr>
            <w:r>
              <w:rPr>
                <w:rFonts w:ascii="Calibri" w:eastAsia="Calibri" w:hAnsi="Calibri" w:cs="Calibri"/>
                <w:sz w:val="19"/>
                <w:szCs w:val="19"/>
              </w:rPr>
              <w:t>Is the supply side of the marketplace healthy?</w:t>
            </w:r>
          </w:p>
        </w:tc>
        <w:tc>
          <w:tcPr>
            <w:tcW w:w="301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4BB2DC30" w14:textId="77777777" w:rsidR="00AD4FB1" w:rsidRDefault="00000000">
            <w:pPr>
              <w:spacing w:after="30"/>
            </w:pPr>
            <w:r>
              <w:rPr>
                <w:rFonts w:ascii="Calibri" w:eastAsia="Calibri" w:hAnsi="Calibri" w:cs="Calibri"/>
                <w:sz w:val="19"/>
                <w:szCs w:val="19"/>
              </w:rPr>
              <w:t>Distinct sellers with at least one non-canceled order in the month.</w:t>
            </w:r>
          </w:p>
        </w:tc>
        <w:tc>
          <w:tcPr>
            <w:tcW w:w="2800" w:type="dxa"/>
            <w:tcBorders>
              <w:top w:val="single" w:sz="4" w:space="0" w:color="CFC3B0"/>
              <w:left w:val="single" w:sz="4" w:space="0" w:color="CFC3B0"/>
              <w:bottom w:val="single" w:sz="4" w:space="0" w:color="CFC3B0"/>
              <w:right w:val="single" w:sz="4" w:space="0" w:color="CFC3B0"/>
            </w:tcBorders>
            <w:shd w:val="clear" w:color="auto" w:fill="F4F1E9"/>
            <w:tcMar>
              <w:top w:w="70" w:type="dxa"/>
              <w:left w:w="110" w:type="dxa"/>
              <w:bottom w:w="70" w:type="dxa"/>
              <w:right w:w="110" w:type="dxa"/>
            </w:tcMar>
          </w:tcPr>
          <w:p w14:paraId="27B5ED17" w14:textId="77777777" w:rsidR="00AD4FB1" w:rsidRDefault="00000000">
            <w:pPr>
              <w:spacing w:after="30"/>
            </w:pPr>
            <w:proofErr w:type="spellStart"/>
            <w:r>
              <w:rPr>
                <w:rFonts w:ascii="Calibri" w:eastAsia="Calibri" w:hAnsi="Calibri" w:cs="Calibri"/>
                <w:color w:val="555555"/>
                <w:sz w:val="18"/>
                <w:szCs w:val="18"/>
              </w:rPr>
              <w:t>order_items</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seller_id</w:t>
            </w:r>
            <w:proofErr w:type="spellEnd"/>
            <w:r>
              <w:rPr>
                <w:rFonts w:ascii="Calibri" w:eastAsia="Calibri" w:hAnsi="Calibri" w:cs="Calibri"/>
                <w:color w:val="555555"/>
                <w:sz w:val="18"/>
                <w:szCs w:val="18"/>
              </w:rPr>
              <w:t xml:space="preserve">; orders: </w:t>
            </w:r>
            <w:proofErr w:type="spellStart"/>
            <w:r>
              <w:rPr>
                <w:rFonts w:ascii="Calibri" w:eastAsia="Calibri" w:hAnsi="Calibri" w:cs="Calibri"/>
                <w:color w:val="555555"/>
                <w:sz w:val="18"/>
                <w:szCs w:val="18"/>
              </w:rPr>
              <w:t>order_purchase_timestamp</w:t>
            </w:r>
            <w:proofErr w:type="spellEnd"/>
          </w:p>
        </w:tc>
      </w:tr>
      <w:tr w:rsidR="00AD4FB1" w14:paraId="655881B0" w14:textId="77777777">
        <w:tblPrEx>
          <w:tblCellMar>
            <w:top w:w="0" w:type="dxa"/>
            <w:bottom w:w="0" w:type="dxa"/>
          </w:tblCellMar>
        </w:tblPrEx>
        <w:trPr>
          <w:cantSplit/>
        </w:trPr>
        <w:tc>
          <w:tcPr>
            <w:tcW w:w="160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26D3DD7E" w14:textId="77777777" w:rsidR="00AD4FB1" w:rsidRDefault="00000000">
            <w:pPr>
              <w:spacing w:after="30"/>
            </w:pPr>
            <w:r>
              <w:rPr>
                <w:rFonts w:ascii="Calibri" w:eastAsia="Calibri" w:hAnsi="Calibri" w:cs="Calibri"/>
                <w:b/>
                <w:bCs/>
                <w:color w:val="112846"/>
              </w:rPr>
              <w:t>Repeat purchase rate</w:t>
            </w:r>
          </w:p>
          <w:p w14:paraId="28E4EC6A" w14:textId="77777777" w:rsidR="00AD4FB1" w:rsidRDefault="00000000">
            <w:pPr>
              <w:spacing w:after="30"/>
            </w:pPr>
            <w:r>
              <w:rPr>
                <w:rFonts w:ascii="Calibri" w:eastAsia="Calibri" w:hAnsi="Calibri" w:cs="Calibri"/>
                <w:i/>
                <w:iCs/>
                <w:color w:val="555555"/>
                <w:sz w:val="17"/>
                <w:szCs w:val="17"/>
              </w:rPr>
              <w:t>Loyalty | Lagging for experience, leading for future GMV</w:t>
            </w:r>
          </w:p>
        </w:tc>
        <w:tc>
          <w:tcPr>
            <w:tcW w:w="195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714E567A" w14:textId="77777777" w:rsidR="00AD4FB1" w:rsidRDefault="00000000">
            <w:pPr>
              <w:spacing w:after="30"/>
            </w:pPr>
            <w:r>
              <w:rPr>
                <w:rFonts w:ascii="Calibri" w:eastAsia="Calibri" w:hAnsi="Calibri" w:cs="Calibri"/>
                <w:sz w:val="19"/>
                <w:szCs w:val="19"/>
              </w:rPr>
              <w:t>Do shoppers come back?</w:t>
            </w:r>
          </w:p>
        </w:tc>
        <w:tc>
          <w:tcPr>
            <w:tcW w:w="301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65587A75" w14:textId="77777777" w:rsidR="00AD4FB1" w:rsidRDefault="00000000">
            <w:pPr>
              <w:spacing w:after="30"/>
            </w:pPr>
            <w:r>
              <w:rPr>
                <w:rFonts w:ascii="Calibri" w:eastAsia="Calibri" w:hAnsi="Calibri" w:cs="Calibri"/>
                <w:sz w:val="19"/>
                <w:szCs w:val="19"/>
              </w:rPr>
              <w:t xml:space="preserve">Shoppers with two or more orders, divided by all shoppers. Shoppers are counted by </w:t>
            </w:r>
            <w:proofErr w:type="spellStart"/>
            <w:r>
              <w:rPr>
                <w:rFonts w:ascii="Calibri" w:eastAsia="Calibri" w:hAnsi="Calibri" w:cs="Calibri"/>
                <w:sz w:val="19"/>
                <w:szCs w:val="19"/>
              </w:rPr>
              <w:t>customer_unique_id</w:t>
            </w:r>
            <w:proofErr w:type="spellEnd"/>
            <w:r>
              <w:rPr>
                <w:rFonts w:ascii="Calibri" w:eastAsia="Calibri" w:hAnsi="Calibri" w:cs="Calibri"/>
                <w:sz w:val="19"/>
                <w:szCs w:val="19"/>
              </w:rPr>
              <w:t>.</w:t>
            </w:r>
          </w:p>
        </w:tc>
        <w:tc>
          <w:tcPr>
            <w:tcW w:w="2800" w:type="dxa"/>
            <w:tcBorders>
              <w:top w:val="single" w:sz="4" w:space="0" w:color="CFC3B0"/>
              <w:left w:val="single" w:sz="4" w:space="0" w:color="CFC3B0"/>
              <w:bottom w:val="single" w:sz="4" w:space="0" w:color="CFC3B0"/>
              <w:right w:val="single" w:sz="4" w:space="0" w:color="CFC3B0"/>
            </w:tcBorders>
            <w:shd w:val="clear" w:color="auto" w:fill="FFFFFF"/>
            <w:tcMar>
              <w:top w:w="70" w:type="dxa"/>
              <w:left w:w="110" w:type="dxa"/>
              <w:bottom w:w="70" w:type="dxa"/>
              <w:right w:w="110" w:type="dxa"/>
            </w:tcMar>
          </w:tcPr>
          <w:p w14:paraId="0E5EC92D" w14:textId="77777777" w:rsidR="00AD4FB1" w:rsidRDefault="00000000">
            <w:pPr>
              <w:spacing w:after="30"/>
            </w:pPr>
            <w:r>
              <w:rPr>
                <w:rFonts w:ascii="Calibri" w:eastAsia="Calibri" w:hAnsi="Calibri" w:cs="Calibri"/>
                <w:color w:val="555555"/>
                <w:sz w:val="18"/>
                <w:szCs w:val="18"/>
              </w:rPr>
              <w:t xml:space="preserve">customers: </w:t>
            </w:r>
            <w:proofErr w:type="spellStart"/>
            <w:r>
              <w:rPr>
                <w:rFonts w:ascii="Calibri" w:eastAsia="Calibri" w:hAnsi="Calibri" w:cs="Calibri"/>
                <w:color w:val="555555"/>
                <w:sz w:val="18"/>
                <w:szCs w:val="18"/>
              </w:rPr>
              <w:t>customer_unique_id</w:t>
            </w:r>
            <w:proofErr w:type="spellEnd"/>
            <w:r>
              <w:rPr>
                <w:rFonts w:ascii="Calibri" w:eastAsia="Calibri" w:hAnsi="Calibri" w:cs="Calibri"/>
                <w:color w:val="555555"/>
                <w:sz w:val="18"/>
                <w:szCs w:val="18"/>
              </w:rPr>
              <w:t xml:space="preserve">; orders: </w:t>
            </w:r>
            <w:proofErr w:type="spellStart"/>
            <w:r>
              <w:rPr>
                <w:rFonts w:ascii="Calibri" w:eastAsia="Calibri" w:hAnsi="Calibri" w:cs="Calibri"/>
                <w:color w:val="555555"/>
                <w:sz w:val="18"/>
                <w:szCs w:val="18"/>
              </w:rPr>
              <w:t>customer_id</w:t>
            </w:r>
            <w:proofErr w:type="spellEnd"/>
          </w:p>
        </w:tc>
      </w:tr>
    </w:tbl>
    <w:p w14:paraId="0F741B93" w14:textId="77777777" w:rsidR="00AD4FB1" w:rsidRDefault="00000000">
      <w:pPr>
        <w:spacing w:before="80" w:after="60"/>
      </w:pPr>
      <w:r>
        <w:rPr>
          <w:rFonts w:ascii="Calibri" w:eastAsia="Calibri" w:hAnsi="Calibri" w:cs="Calibri"/>
          <w:i/>
          <w:iCs/>
          <w:color w:val="555555"/>
          <w:sz w:val="19"/>
          <w:szCs w:val="19"/>
        </w:rPr>
        <w:t>Leading indicators warn before damage lands and can still be acted on. Lagging indicators confirm an outcome that has already happened.</w:t>
      </w:r>
    </w:p>
    <w:p w14:paraId="745299AF" w14:textId="77777777" w:rsidR="00AD4FB1" w:rsidRDefault="00000000">
      <w:pPr>
        <w:pStyle w:val="Heading1"/>
        <w:keepNext/>
        <w:pBdr>
          <w:bottom w:val="single" w:sz="6" w:space="2" w:color="B79F81"/>
        </w:pBdr>
        <w:spacing w:before="240" w:after="90"/>
      </w:pPr>
      <w:r>
        <w:rPr>
          <w:rFonts w:ascii="Calibri" w:eastAsia="Calibri" w:hAnsi="Calibri" w:cs="Calibri"/>
          <w:b/>
          <w:bCs/>
          <w:color w:val="112846"/>
          <w:sz w:val="28"/>
          <w:szCs w:val="28"/>
        </w:rPr>
        <w:t>3. Measurement rules</w:t>
      </w:r>
    </w:p>
    <w:p w14:paraId="1FDED320" w14:textId="77777777" w:rsidR="00AD4FB1" w:rsidRDefault="00000000">
      <w:pPr>
        <w:pStyle w:val="ListParagraph"/>
        <w:numPr>
          <w:ilvl w:val="0"/>
          <w:numId w:val="2"/>
        </w:numPr>
        <w:spacing w:after="60" w:line="264" w:lineRule="auto"/>
      </w:pPr>
      <w:r>
        <w:rPr>
          <w:rFonts w:ascii="Calibri" w:eastAsia="Calibri" w:hAnsi="Calibri" w:cs="Calibri"/>
          <w:b/>
          <w:bCs/>
          <w:sz w:val="22"/>
          <w:szCs w:val="22"/>
        </w:rPr>
        <w:t xml:space="preserve">Orders: </w:t>
      </w:r>
      <w:r>
        <w:rPr>
          <w:rFonts w:ascii="Calibri" w:eastAsia="Calibri" w:hAnsi="Calibri" w:cs="Calibri"/>
          <w:sz w:val="22"/>
          <w:szCs w:val="22"/>
        </w:rPr>
        <w:t>the dataset holds 99,441 orders, of which 96,478 are delivered. Canceled and unavailable orders are excluded from GMV and AOV.</w:t>
      </w:r>
    </w:p>
    <w:p w14:paraId="4256328A" w14:textId="77777777" w:rsidR="00AD4FB1" w:rsidRDefault="00000000">
      <w:pPr>
        <w:pStyle w:val="ListParagraph"/>
        <w:numPr>
          <w:ilvl w:val="0"/>
          <w:numId w:val="2"/>
        </w:numPr>
        <w:spacing w:after="60" w:line="264" w:lineRule="auto"/>
      </w:pPr>
      <w:r>
        <w:rPr>
          <w:rFonts w:ascii="Calibri" w:eastAsia="Calibri" w:hAnsi="Calibri" w:cs="Calibri"/>
          <w:b/>
          <w:bCs/>
          <w:sz w:val="22"/>
          <w:szCs w:val="22"/>
        </w:rPr>
        <w:t xml:space="preserve">GMV: </w:t>
      </w:r>
      <w:r>
        <w:rPr>
          <w:rFonts w:ascii="Calibri" w:eastAsia="Calibri" w:hAnsi="Calibri" w:cs="Calibri"/>
          <w:sz w:val="22"/>
          <w:szCs w:val="22"/>
        </w:rPr>
        <w:t>the sum of item prices, excluding freight. Freight is reported as its own figure.</w:t>
      </w:r>
    </w:p>
    <w:p w14:paraId="7FDDAFA5" w14:textId="77777777" w:rsidR="00AD4FB1" w:rsidRDefault="00000000">
      <w:pPr>
        <w:pStyle w:val="ListParagraph"/>
        <w:numPr>
          <w:ilvl w:val="0"/>
          <w:numId w:val="2"/>
        </w:numPr>
        <w:spacing w:after="60" w:line="264" w:lineRule="auto"/>
      </w:pPr>
      <w:r>
        <w:rPr>
          <w:rFonts w:ascii="Calibri" w:eastAsia="Calibri" w:hAnsi="Calibri" w:cs="Calibri"/>
          <w:b/>
          <w:bCs/>
          <w:sz w:val="22"/>
          <w:szCs w:val="22"/>
        </w:rPr>
        <w:t xml:space="preserve">Delivery dates: </w:t>
      </w:r>
      <w:r>
        <w:rPr>
          <w:rFonts w:ascii="Calibri" w:eastAsia="Calibri" w:hAnsi="Calibri" w:cs="Calibri"/>
          <w:sz w:val="22"/>
          <w:szCs w:val="22"/>
        </w:rPr>
        <w:t>the estimated date carries no time of day, so on-time is judged by calendar day. Only delivered orders are included.</w:t>
      </w:r>
    </w:p>
    <w:p w14:paraId="76A85323" w14:textId="77777777" w:rsidR="00AD4FB1" w:rsidRDefault="00000000">
      <w:pPr>
        <w:pStyle w:val="ListParagraph"/>
        <w:numPr>
          <w:ilvl w:val="0"/>
          <w:numId w:val="2"/>
        </w:numPr>
        <w:spacing w:after="60" w:line="264" w:lineRule="auto"/>
      </w:pPr>
      <w:r>
        <w:rPr>
          <w:rFonts w:ascii="Calibri" w:eastAsia="Calibri" w:hAnsi="Calibri" w:cs="Calibri"/>
          <w:b/>
          <w:bCs/>
          <w:sz w:val="22"/>
          <w:szCs w:val="22"/>
        </w:rPr>
        <w:lastRenderedPageBreak/>
        <w:t xml:space="preserve">Reviews: </w:t>
      </w:r>
      <w:r>
        <w:rPr>
          <w:rFonts w:ascii="Calibri" w:eastAsia="Calibri" w:hAnsi="Calibri" w:cs="Calibri"/>
          <w:sz w:val="22"/>
          <w:szCs w:val="22"/>
        </w:rPr>
        <w:t>some orders have more than one review and some have none. One review per order is used (the latest), and orders without a review are left out of review KPIs.</w:t>
      </w:r>
    </w:p>
    <w:p w14:paraId="328A4BD8" w14:textId="77777777" w:rsidR="00AD4FB1" w:rsidRDefault="00000000">
      <w:pPr>
        <w:pStyle w:val="ListParagraph"/>
        <w:numPr>
          <w:ilvl w:val="0"/>
          <w:numId w:val="2"/>
        </w:numPr>
        <w:spacing w:after="60" w:line="264" w:lineRule="auto"/>
      </w:pPr>
      <w:r>
        <w:rPr>
          <w:rFonts w:ascii="Calibri" w:eastAsia="Calibri" w:hAnsi="Calibri" w:cs="Calibri"/>
          <w:b/>
          <w:bCs/>
          <w:sz w:val="22"/>
          <w:szCs w:val="22"/>
        </w:rPr>
        <w:t xml:space="preserve">Shoppers: </w:t>
      </w:r>
      <w:r>
        <w:rPr>
          <w:rFonts w:ascii="Calibri" w:eastAsia="Calibri" w:hAnsi="Calibri" w:cs="Calibri"/>
          <w:sz w:val="22"/>
          <w:szCs w:val="22"/>
        </w:rPr>
        <w:t xml:space="preserve">counted by </w:t>
      </w:r>
      <w:proofErr w:type="spellStart"/>
      <w:r>
        <w:rPr>
          <w:rFonts w:ascii="Calibri" w:eastAsia="Calibri" w:hAnsi="Calibri" w:cs="Calibri"/>
          <w:sz w:val="22"/>
          <w:szCs w:val="22"/>
        </w:rPr>
        <w:t>customer_unique_id</w:t>
      </w:r>
      <w:proofErr w:type="spellEnd"/>
      <w:r>
        <w:rPr>
          <w:rFonts w:ascii="Calibri" w:eastAsia="Calibri" w:hAnsi="Calibri" w:cs="Calibri"/>
          <w:sz w:val="22"/>
          <w:szCs w:val="22"/>
        </w:rPr>
        <w:t xml:space="preserve">, never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because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changes with every order.</w:t>
      </w:r>
    </w:p>
    <w:p w14:paraId="7E8C671F" w14:textId="77777777" w:rsidR="00AD4FB1" w:rsidRDefault="00000000">
      <w:pPr>
        <w:pStyle w:val="Heading1"/>
        <w:keepNext/>
        <w:pBdr>
          <w:bottom w:val="single" w:sz="6" w:space="2" w:color="B79F81"/>
        </w:pBdr>
        <w:spacing w:before="240" w:after="90"/>
      </w:pPr>
      <w:r>
        <w:rPr>
          <w:rFonts w:ascii="Calibri" w:eastAsia="Calibri" w:hAnsi="Calibri" w:cs="Calibri"/>
          <w:b/>
          <w:bCs/>
          <w:color w:val="112846"/>
          <w:sz w:val="28"/>
          <w:szCs w:val="28"/>
        </w:rPr>
        <w:t>4. How the KPIs 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D4FB1" w14:paraId="1B86480A" w14:textId="77777777">
        <w:tblPrEx>
          <w:tblCellMar>
            <w:top w:w="0" w:type="dxa"/>
            <w:bottom w:w="0" w:type="dxa"/>
          </w:tblCellMar>
        </w:tblPrEx>
        <w:trPr>
          <w:cantSplit/>
        </w:trPr>
        <w:tc>
          <w:tcPr>
            <w:tcW w:w="1872" w:type="dxa"/>
            <w:tcBorders>
              <w:top w:val="single" w:sz="4" w:space="0" w:color="CFC3B0"/>
              <w:left w:val="single" w:sz="4" w:space="0" w:color="CFC3B0"/>
              <w:bottom w:val="single" w:sz="4" w:space="0" w:color="CFC3B0"/>
              <w:right w:val="single" w:sz="4" w:space="0" w:color="CFC3B0"/>
            </w:tcBorders>
            <w:shd w:val="clear" w:color="auto" w:fill="112846"/>
            <w:tcMar>
              <w:top w:w="70" w:type="dxa"/>
              <w:left w:w="110" w:type="dxa"/>
              <w:bottom w:w="70" w:type="dxa"/>
              <w:right w:w="110" w:type="dxa"/>
            </w:tcMar>
          </w:tcPr>
          <w:p w14:paraId="6B5CFF4E" w14:textId="77777777" w:rsidR="00AD4FB1" w:rsidRDefault="00000000">
            <w:pPr>
              <w:spacing w:after="30"/>
              <w:jc w:val="center"/>
            </w:pPr>
            <w:r>
              <w:rPr>
                <w:rFonts w:ascii="Calibri" w:eastAsia="Calibri" w:hAnsi="Calibri" w:cs="Calibri"/>
                <w:b/>
                <w:bCs/>
                <w:color w:val="FFFFFF"/>
              </w:rPr>
              <w:t>Seller ships on time</w:t>
            </w:r>
          </w:p>
          <w:p w14:paraId="69BB3484" w14:textId="77777777" w:rsidR="00AD4FB1" w:rsidRDefault="00000000">
            <w:pPr>
              <w:spacing w:after="30"/>
              <w:jc w:val="center"/>
            </w:pPr>
            <w:r>
              <w:rPr>
                <w:rFonts w:ascii="Calibri" w:eastAsia="Calibri" w:hAnsi="Calibri" w:cs="Calibri"/>
                <w:i/>
                <w:iCs/>
                <w:color w:val="E8DFD0"/>
                <w:sz w:val="16"/>
                <w:szCs w:val="16"/>
              </w:rPr>
              <w:t>Supporting measure | Leading</w:t>
            </w:r>
          </w:p>
        </w:tc>
        <w:tc>
          <w:tcPr>
            <w:tcW w:w="1872" w:type="dxa"/>
            <w:tcBorders>
              <w:top w:val="single" w:sz="4" w:space="0" w:color="CFC3B0"/>
              <w:left w:val="single" w:sz="4" w:space="0" w:color="CFC3B0"/>
              <w:bottom w:val="single" w:sz="4" w:space="0" w:color="CFC3B0"/>
              <w:right w:val="single" w:sz="4" w:space="0" w:color="CFC3B0"/>
            </w:tcBorders>
            <w:shd w:val="clear" w:color="auto" w:fill="112846"/>
            <w:tcMar>
              <w:top w:w="70" w:type="dxa"/>
              <w:left w:w="110" w:type="dxa"/>
              <w:bottom w:w="70" w:type="dxa"/>
              <w:right w:w="110" w:type="dxa"/>
            </w:tcMar>
          </w:tcPr>
          <w:p w14:paraId="4DDA9C6C" w14:textId="77777777" w:rsidR="00AD4FB1" w:rsidRDefault="00000000">
            <w:pPr>
              <w:spacing w:after="30"/>
              <w:jc w:val="center"/>
            </w:pPr>
            <w:r>
              <w:rPr>
                <w:rFonts w:ascii="Calibri" w:eastAsia="Calibri" w:hAnsi="Calibri" w:cs="Calibri"/>
                <w:b/>
                <w:bCs/>
                <w:color w:val="FFFFFF"/>
              </w:rPr>
              <w:t>On-time delivery rate</w:t>
            </w:r>
          </w:p>
          <w:p w14:paraId="56AFA75C" w14:textId="77777777" w:rsidR="00AD4FB1" w:rsidRDefault="00000000">
            <w:pPr>
              <w:spacing w:after="30"/>
              <w:jc w:val="center"/>
            </w:pPr>
            <w:r>
              <w:rPr>
                <w:rFonts w:ascii="Calibri" w:eastAsia="Calibri" w:hAnsi="Calibri" w:cs="Calibri"/>
                <w:i/>
                <w:iCs/>
                <w:color w:val="E8DFD0"/>
                <w:sz w:val="16"/>
                <w:szCs w:val="16"/>
              </w:rPr>
              <w:t>KPI | Leading</w:t>
            </w:r>
          </w:p>
        </w:tc>
        <w:tc>
          <w:tcPr>
            <w:tcW w:w="1872" w:type="dxa"/>
            <w:tcBorders>
              <w:top w:val="single" w:sz="4" w:space="0" w:color="CFC3B0"/>
              <w:left w:val="single" w:sz="4" w:space="0" w:color="CFC3B0"/>
              <w:bottom w:val="single" w:sz="4" w:space="0" w:color="CFC3B0"/>
              <w:right w:val="single" w:sz="4" w:space="0" w:color="CFC3B0"/>
            </w:tcBorders>
            <w:shd w:val="clear" w:color="auto" w:fill="EFE7DC"/>
            <w:tcMar>
              <w:top w:w="70" w:type="dxa"/>
              <w:left w:w="110" w:type="dxa"/>
              <w:bottom w:w="70" w:type="dxa"/>
              <w:right w:w="110" w:type="dxa"/>
            </w:tcMar>
          </w:tcPr>
          <w:p w14:paraId="2BB4633E" w14:textId="77777777" w:rsidR="00AD4FB1" w:rsidRDefault="00000000">
            <w:pPr>
              <w:spacing w:after="30"/>
              <w:jc w:val="center"/>
            </w:pPr>
            <w:r>
              <w:rPr>
                <w:rFonts w:ascii="Calibri" w:eastAsia="Calibri" w:hAnsi="Calibri" w:cs="Calibri"/>
                <w:b/>
                <w:bCs/>
                <w:color w:val="112846"/>
              </w:rPr>
              <w:t>Review score</w:t>
            </w:r>
          </w:p>
          <w:p w14:paraId="42500DCD" w14:textId="77777777" w:rsidR="00AD4FB1" w:rsidRDefault="00000000">
            <w:pPr>
              <w:spacing w:after="30"/>
              <w:jc w:val="center"/>
            </w:pPr>
            <w:r>
              <w:rPr>
                <w:rFonts w:ascii="Calibri" w:eastAsia="Calibri" w:hAnsi="Calibri" w:cs="Calibri"/>
                <w:i/>
                <w:iCs/>
                <w:color w:val="555555"/>
                <w:sz w:val="16"/>
                <w:szCs w:val="16"/>
              </w:rPr>
              <w:t>KPI | Lagging</w:t>
            </w:r>
          </w:p>
        </w:tc>
        <w:tc>
          <w:tcPr>
            <w:tcW w:w="1872" w:type="dxa"/>
            <w:tcBorders>
              <w:top w:val="single" w:sz="4" w:space="0" w:color="CFC3B0"/>
              <w:left w:val="single" w:sz="4" w:space="0" w:color="CFC3B0"/>
              <w:bottom w:val="single" w:sz="4" w:space="0" w:color="CFC3B0"/>
              <w:right w:val="single" w:sz="4" w:space="0" w:color="CFC3B0"/>
            </w:tcBorders>
            <w:shd w:val="clear" w:color="auto" w:fill="EFE7DC"/>
            <w:tcMar>
              <w:top w:w="70" w:type="dxa"/>
              <w:left w:w="110" w:type="dxa"/>
              <w:bottom w:w="70" w:type="dxa"/>
              <w:right w:w="110" w:type="dxa"/>
            </w:tcMar>
          </w:tcPr>
          <w:p w14:paraId="142E47DE" w14:textId="77777777" w:rsidR="00AD4FB1" w:rsidRDefault="00000000">
            <w:pPr>
              <w:spacing w:after="30"/>
              <w:jc w:val="center"/>
            </w:pPr>
            <w:r>
              <w:rPr>
                <w:rFonts w:ascii="Calibri" w:eastAsia="Calibri" w:hAnsi="Calibri" w:cs="Calibri"/>
                <w:b/>
                <w:bCs/>
                <w:color w:val="112846"/>
              </w:rPr>
              <w:t>Repeat purchase rate</w:t>
            </w:r>
          </w:p>
          <w:p w14:paraId="4E87D3AF" w14:textId="77777777" w:rsidR="00AD4FB1" w:rsidRDefault="00000000">
            <w:pPr>
              <w:spacing w:after="30"/>
              <w:jc w:val="center"/>
            </w:pPr>
            <w:r>
              <w:rPr>
                <w:rFonts w:ascii="Calibri" w:eastAsia="Calibri" w:hAnsi="Calibri" w:cs="Calibri"/>
                <w:i/>
                <w:iCs/>
                <w:color w:val="555555"/>
                <w:sz w:val="16"/>
                <w:szCs w:val="16"/>
              </w:rPr>
              <w:t>KPI | Lagging</w:t>
            </w:r>
          </w:p>
        </w:tc>
        <w:tc>
          <w:tcPr>
            <w:tcW w:w="1872" w:type="dxa"/>
            <w:tcBorders>
              <w:top w:val="single" w:sz="4" w:space="0" w:color="CFC3B0"/>
              <w:left w:val="single" w:sz="4" w:space="0" w:color="CFC3B0"/>
              <w:bottom w:val="single" w:sz="4" w:space="0" w:color="CFC3B0"/>
              <w:right w:val="single" w:sz="4" w:space="0" w:color="CFC3B0"/>
            </w:tcBorders>
            <w:shd w:val="clear" w:color="auto" w:fill="EFE7DC"/>
            <w:tcMar>
              <w:top w:w="70" w:type="dxa"/>
              <w:left w:w="110" w:type="dxa"/>
              <w:bottom w:w="70" w:type="dxa"/>
              <w:right w:w="110" w:type="dxa"/>
            </w:tcMar>
          </w:tcPr>
          <w:p w14:paraId="4BD0B7B7" w14:textId="77777777" w:rsidR="00AD4FB1" w:rsidRDefault="00000000">
            <w:pPr>
              <w:spacing w:after="30"/>
              <w:jc w:val="center"/>
            </w:pPr>
            <w:r>
              <w:rPr>
                <w:rFonts w:ascii="Calibri" w:eastAsia="Calibri" w:hAnsi="Calibri" w:cs="Calibri"/>
                <w:b/>
                <w:bCs/>
                <w:color w:val="112846"/>
              </w:rPr>
              <w:t>GMV growth</w:t>
            </w:r>
          </w:p>
          <w:p w14:paraId="2124CAD6" w14:textId="77777777" w:rsidR="00AD4FB1" w:rsidRDefault="00000000">
            <w:pPr>
              <w:spacing w:after="30"/>
              <w:jc w:val="center"/>
            </w:pPr>
            <w:r>
              <w:rPr>
                <w:rFonts w:ascii="Calibri" w:eastAsia="Calibri" w:hAnsi="Calibri" w:cs="Calibri"/>
                <w:i/>
                <w:iCs/>
                <w:color w:val="555555"/>
                <w:sz w:val="16"/>
                <w:szCs w:val="16"/>
              </w:rPr>
              <w:t>Business outcome | Lagging</w:t>
            </w:r>
          </w:p>
        </w:tc>
      </w:tr>
    </w:tbl>
    <w:p w14:paraId="09866860" w14:textId="77777777" w:rsidR="00AD4FB1" w:rsidRDefault="00000000">
      <w:pPr>
        <w:spacing w:before="80" w:after="60"/>
      </w:pPr>
      <w:r>
        <w:rPr>
          <w:rFonts w:ascii="Calibri" w:eastAsia="Calibri" w:hAnsi="Calibri" w:cs="Calibri"/>
          <w:i/>
          <w:iCs/>
          <w:color w:val="555555"/>
          <w:sz w:val="19"/>
          <w:szCs w:val="19"/>
        </w:rPr>
        <w:t>Read left to right. The early links can still be acted on. The later links show whether the experience is working.</w:t>
      </w:r>
    </w:p>
    <w:p w14:paraId="045EDBF5" w14:textId="77777777" w:rsidR="00AD4FB1" w:rsidRDefault="00000000">
      <w:pPr>
        <w:pStyle w:val="Heading1"/>
        <w:keepNext/>
        <w:pBdr>
          <w:bottom w:val="single" w:sz="6" w:space="2" w:color="B79F81"/>
        </w:pBdr>
        <w:spacing w:before="240" w:after="90"/>
      </w:pPr>
      <w:r>
        <w:rPr>
          <w:rFonts w:ascii="Calibri" w:eastAsia="Calibri" w:hAnsi="Calibri" w:cs="Calibri"/>
          <w:b/>
          <w:bCs/>
          <w:color w:val="112846"/>
          <w:sz w:val="28"/>
          <w:szCs w:val="28"/>
        </w:rPr>
        <w:t>5. Headline KPI (working hypothesis)</w:t>
      </w:r>
    </w:p>
    <w:p w14:paraId="4628F881" w14:textId="77777777" w:rsidR="00AD4FB1" w:rsidRDefault="00000000">
      <w:pPr>
        <w:spacing w:after="110" w:line="264" w:lineRule="auto"/>
      </w:pPr>
      <w:r>
        <w:rPr>
          <w:rFonts w:ascii="Calibri" w:eastAsia="Calibri" w:hAnsi="Calibri" w:cs="Calibri"/>
          <w:sz w:val="22"/>
          <w:szCs w:val="22"/>
        </w:rPr>
        <w:t>On-time delivery rate is the working headline KPI. It is an early signal, Feirando can improve it, and it ties directly to the company's promise of a reliable, satisfying shopping experience. Perfect order rate (delivered on time, not canceled, and rated 4 stars or higher) is a candidate for a more complete headline. The final choice follows the problem statement and the analysis, and may change if the data shows a different driver.</w:t>
      </w:r>
    </w:p>
    <w:p w14:paraId="2CD2570A" w14:textId="77777777" w:rsidR="00AD4FB1" w:rsidRDefault="00000000">
      <w:pPr>
        <w:spacing w:after="110" w:line="264" w:lineRule="auto"/>
      </w:pPr>
      <w:r>
        <w:rPr>
          <w:rFonts w:ascii="Calibri" w:eastAsia="Calibri" w:hAnsi="Calibri" w:cs="Calibri"/>
          <w:sz w:val="22"/>
          <w:szCs w:val="22"/>
        </w:rPr>
        <w:t>GMV and revenue are reported as outcomes, not as the headline. They lag behind their causes and can rise while the shopper experience gets worse.</w:t>
      </w:r>
    </w:p>
    <w:p w14:paraId="1C61DCDF" w14:textId="77777777" w:rsidR="00AD4FB1" w:rsidRDefault="00000000">
      <w:pPr>
        <w:pStyle w:val="Heading1"/>
        <w:keepNext/>
        <w:pBdr>
          <w:bottom w:val="single" w:sz="6" w:space="2" w:color="B79F81"/>
        </w:pBdr>
        <w:spacing w:before="240" w:after="90"/>
      </w:pPr>
      <w:r>
        <w:rPr>
          <w:rFonts w:ascii="Calibri" w:eastAsia="Calibri" w:hAnsi="Calibri" w:cs="Calibri"/>
          <w:b/>
          <w:bCs/>
          <w:color w:val="112846"/>
          <w:sz w:val="28"/>
          <w:szCs w:val="28"/>
        </w:rPr>
        <w:t>6. What the data cannot show</w:t>
      </w:r>
    </w:p>
    <w:p w14:paraId="7163205D" w14:textId="77777777" w:rsidR="00AD4FB1" w:rsidRDefault="00000000">
      <w:pPr>
        <w:pStyle w:val="ListParagraph"/>
        <w:numPr>
          <w:ilvl w:val="0"/>
          <w:numId w:val="2"/>
        </w:numPr>
        <w:spacing w:after="60" w:line="264" w:lineRule="auto"/>
      </w:pPr>
      <w:proofErr w:type="spellStart"/>
      <w:r>
        <w:rPr>
          <w:rFonts w:ascii="Calibri" w:eastAsia="Calibri" w:hAnsi="Calibri" w:cs="Calibri"/>
          <w:sz w:val="22"/>
          <w:szCs w:val="22"/>
        </w:rPr>
        <w:t>Feirando's</w:t>
      </w:r>
      <w:proofErr w:type="spellEnd"/>
      <w:r>
        <w:rPr>
          <w:rFonts w:ascii="Calibri" w:eastAsia="Calibri" w:hAnsi="Calibri" w:cs="Calibri"/>
          <w:sz w:val="22"/>
          <w:szCs w:val="22"/>
        </w:rPr>
        <w:t xml:space="preserve"> commission, subscription and fulfillment revenue. Any revenue figure will be a clearly labelled assumption.</w:t>
      </w:r>
    </w:p>
    <w:p w14:paraId="02DD8953" w14:textId="77777777" w:rsidR="00AD4FB1" w:rsidRDefault="00000000">
      <w:pPr>
        <w:pStyle w:val="ListParagraph"/>
        <w:numPr>
          <w:ilvl w:val="0"/>
          <w:numId w:val="2"/>
        </w:numPr>
        <w:spacing w:after="60" w:line="264" w:lineRule="auto"/>
      </w:pPr>
      <w:r>
        <w:rPr>
          <w:rFonts w:ascii="Calibri" w:eastAsia="Calibri" w:hAnsi="Calibri" w:cs="Calibri"/>
          <w:sz w:val="22"/>
          <w:szCs w:val="22"/>
        </w:rPr>
        <w:t>Who handled logistics, whether the seller or the platform.</w:t>
      </w:r>
    </w:p>
    <w:p w14:paraId="07E9DA19" w14:textId="77777777" w:rsidR="00AD4FB1" w:rsidRDefault="00000000">
      <w:pPr>
        <w:pStyle w:val="ListParagraph"/>
        <w:numPr>
          <w:ilvl w:val="0"/>
          <w:numId w:val="2"/>
        </w:numPr>
        <w:spacing w:after="60" w:line="264" w:lineRule="auto"/>
      </w:pPr>
      <w:r>
        <w:rPr>
          <w:rFonts w:ascii="Calibri" w:eastAsia="Calibri" w:hAnsi="Calibri" w:cs="Calibri"/>
          <w:sz w:val="22"/>
          <w:szCs w:val="22"/>
        </w:rPr>
        <w:t>Returns, since the dataset has no returns flag.</w:t>
      </w:r>
    </w:p>
    <w:sectPr w:rsidR="00AD4FB1">
      <w:headerReference w:type="default" r:id="rId8"/>
      <w:footerReference w:type="default" r:id="rId9"/>
      <w:pgSz w:w="11906" w:h="16838"/>
      <w:pgMar w:top="1000" w:right="1273" w:bottom="10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348F2" w14:textId="77777777" w:rsidR="00324BD9" w:rsidRDefault="00324BD9">
      <w:r>
        <w:separator/>
      </w:r>
    </w:p>
  </w:endnote>
  <w:endnote w:type="continuationSeparator" w:id="0">
    <w:p w14:paraId="233C9F32" w14:textId="77777777" w:rsidR="00324BD9" w:rsidRDefault="0032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8B3EC" w14:textId="77777777" w:rsidR="00AD4FB1" w:rsidRDefault="00000000">
    <w:pPr>
      <w:jc w:val="center"/>
    </w:pPr>
    <w:r>
      <w:rPr>
        <w:rFonts w:ascii="Calibri" w:eastAsia="Calibri" w:hAnsi="Calibri" w:cs="Calibri"/>
        <w:color w:val="555555"/>
        <w:sz w:val="18"/>
        <w:szCs w:val="18"/>
      </w:rPr>
      <w:t xml:space="preserve">Feirando | Case study by Mohammed Adnan | Page </w:t>
    </w:r>
    <w:r>
      <w:rPr>
        <w:rFonts w:ascii="Calibri" w:eastAsia="Calibri" w:hAnsi="Calibri" w:cs="Calibri"/>
        <w:color w:val="555555"/>
        <w:sz w:val="18"/>
        <w:szCs w:val="18"/>
      </w:rPr>
      <w:fldChar w:fldCharType="begin"/>
    </w:r>
    <w:r>
      <w:rPr>
        <w:rFonts w:ascii="Calibri" w:eastAsia="Calibri" w:hAnsi="Calibri" w:cs="Calibri"/>
        <w:color w:val="555555"/>
        <w:sz w:val="18"/>
        <w:szCs w:val="18"/>
      </w:rPr>
      <w:instrText>PAGE</w:instrText>
    </w:r>
    <w:r>
      <w:rPr>
        <w:rFonts w:ascii="Calibri" w:eastAsia="Calibri" w:hAnsi="Calibri" w:cs="Calibri"/>
        <w:color w:val="555555"/>
        <w:sz w:val="18"/>
        <w:szCs w:val="18"/>
      </w:rPr>
      <w:fldChar w:fldCharType="separate"/>
    </w:r>
    <w:r w:rsidR="00D00A95">
      <w:rPr>
        <w:rFonts w:ascii="Calibri" w:eastAsia="Calibri" w:hAnsi="Calibri" w:cs="Calibri"/>
        <w:noProof/>
        <w:color w:val="555555"/>
        <w:sz w:val="18"/>
        <w:szCs w:val="18"/>
      </w:rPr>
      <w:t>1</w:t>
    </w:r>
    <w:r>
      <w:rPr>
        <w:rFonts w:ascii="Calibri" w:eastAsia="Calibri" w:hAnsi="Calibri"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106898" w14:textId="77777777" w:rsidR="00324BD9" w:rsidRDefault="00324BD9">
      <w:r>
        <w:separator/>
      </w:r>
    </w:p>
  </w:footnote>
  <w:footnote w:type="continuationSeparator" w:id="0">
    <w:p w14:paraId="7D59EF98" w14:textId="77777777" w:rsidR="00324BD9" w:rsidRDefault="00324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766F3" w14:textId="77777777" w:rsidR="00AD4FB1" w:rsidRDefault="00000000">
    <w:r>
      <w:rPr>
        <w:noProof/>
      </w:rPr>
      <w:drawing>
        <wp:anchor distT="0" distB="0" distL="0" distR="0" simplePos="0" relativeHeight="3629025" behindDoc="1" locked="0" layoutInCell="1" allowOverlap="1" wp14:anchorId="37C186DE" wp14:editId="165FC91E">
          <wp:simplePos x="0" y="0"/>
          <wp:positionH relativeFrom="page">
            <wp:align>center</wp:align>
          </wp:positionH>
          <wp:positionV relativeFrom="page">
            <wp:align>center</wp:align>
          </wp:positionV>
          <wp:extent cx="4953000" cy="3629025"/>
          <wp:effectExtent l="0" t="0" r="0" b="0"/>
          <wp:wrapNone/>
          <wp:docPr id="335316245" name="wm" descr="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953000" cy="36290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313C0"/>
    <w:multiLevelType w:val="hybridMultilevel"/>
    <w:tmpl w:val="A34E94D8"/>
    <w:lvl w:ilvl="0" w:tplc="BF7A62B8">
      <w:start w:val="1"/>
      <w:numFmt w:val="bullet"/>
      <w:lvlText w:val="•"/>
      <w:lvlJc w:val="left"/>
      <w:pPr>
        <w:ind w:left="540" w:hanging="270"/>
      </w:pPr>
    </w:lvl>
    <w:lvl w:ilvl="1" w:tplc="B11CF8EE">
      <w:numFmt w:val="decimal"/>
      <w:lvlText w:val=""/>
      <w:lvlJc w:val="left"/>
    </w:lvl>
    <w:lvl w:ilvl="2" w:tplc="62A26BE6">
      <w:numFmt w:val="decimal"/>
      <w:lvlText w:val=""/>
      <w:lvlJc w:val="left"/>
    </w:lvl>
    <w:lvl w:ilvl="3" w:tplc="B22233BA">
      <w:numFmt w:val="decimal"/>
      <w:lvlText w:val=""/>
      <w:lvlJc w:val="left"/>
    </w:lvl>
    <w:lvl w:ilvl="4" w:tplc="ED986FC4">
      <w:numFmt w:val="decimal"/>
      <w:lvlText w:val=""/>
      <w:lvlJc w:val="left"/>
    </w:lvl>
    <w:lvl w:ilvl="5" w:tplc="2AC2ACEE">
      <w:numFmt w:val="decimal"/>
      <w:lvlText w:val=""/>
      <w:lvlJc w:val="left"/>
    </w:lvl>
    <w:lvl w:ilvl="6" w:tplc="BE488018">
      <w:numFmt w:val="decimal"/>
      <w:lvlText w:val=""/>
      <w:lvlJc w:val="left"/>
    </w:lvl>
    <w:lvl w:ilvl="7" w:tplc="7E96B162">
      <w:numFmt w:val="decimal"/>
      <w:lvlText w:val=""/>
      <w:lvlJc w:val="left"/>
    </w:lvl>
    <w:lvl w:ilvl="8" w:tplc="707493BA">
      <w:numFmt w:val="decimal"/>
      <w:lvlText w:val=""/>
      <w:lvlJc w:val="left"/>
    </w:lvl>
  </w:abstractNum>
  <w:abstractNum w:abstractNumId="1" w15:restartNumberingAfterBreak="0">
    <w:nsid w:val="28B72106"/>
    <w:multiLevelType w:val="hybridMultilevel"/>
    <w:tmpl w:val="1F904270"/>
    <w:lvl w:ilvl="0" w:tplc="20EA3434">
      <w:start w:val="1"/>
      <w:numFmt w:val="bullet"/>
      <w:lvlText w:val="●"/>
      <w:lvlJc w:val="left"/>
      <w:pPr>
        <w:ind w:left="720" w:hanging="360"/>
      </w:pPr>
    </w:lvl>
    <w:lvl w:ilvl="1" w:tplc="2B50E7F6">
      <w:start w:val="1"/>
      <w:numFmt w:val="bullet"/>
      <w:lvlText w:val="○"/>
      <w:lvlJc w:val="left"/>
      <w:pPr>
        <w:ind w:left="1440" w:hanging="360"/>
      </w:pPr>
    </w:lvl>
    <w:lvl w:ilvl="2" w:tplc="467A19C4">
      <w:start w:val="1"/>
      <w:numFmt w:val="bullet"/>
      <w:lvlText w:val="■"/>
      <w:lvlJc w:val="left"/>
      <w:pPr>
        <w:ind w:left="2160" w:hanging="360"/>
      </w:pPr>
    </w:lvl>
    <w:lvl w:ilvl="3" w:tplc="C4B603FE">
      <w:start w:val="1"/>
      <w:numFmt w:val="bullet"/>
      <w:lvlText w:val="●"/>
      <w:lvlJc w:val="left"/>
      <w:pPr>
        <w:ind w:left="2880" w:hanging="360"/>
      </w:pPr>
    </w:lvl>
    <w:lvl w:ilvl="4" w:tplc="6FB85D56">
      <w:start w:val="1"/>
      <w:numFmt w:val="bullet"/>
      <w:lvlText w:val="○"/>
      <w:lvlJc w:val="left"/>
      <w:pPr>
        <w:ind w:left="3600" w:hanging="360"/>
      </w:pPr>
    </w:lvl>
    <w:lvl w:ilvl="5" w:tplc="12AA4FB8">
      <w:start w:val="1"/>
      <w:numFmt w:val="bullet"/>
      <w:lvlText w:val="■"/>
      <w:lvlJc w:val="left"/>
      <w:pPr>
        <w:ind w:left="4320" w:hanging="360"/>
      </w:pPr>
    </w:lvl>
    <w:lvl w:ilvl="6" w:tplc="9608259E">
      <w:start w:val="1"/>
      <w:numFmt w:val="bullet"/>
      <w:lvlText w:val="●"/>
      <w:lvlJc w:val="left"/>
      <w:pPr>
        <w:ind w:left="5040" w:hanging="360"/>
      </w:pPr>
    </w:lvl>
    <w:lvl w:ilvl="7" w:tplc="6FD0EDF6">
      <w:start w:val="1"/>
      <w:numFmt w:val="bullet"/>
      <w:lvlText w:val="●"/>
      <w:lvlJc w:val="left"/>
      <w:pPr>
        <w:ind w:left="5760" w:hanging="360"/>
      </w:pPr>
    </w:lvl>
    <w:lvl w:ilvl="8" w:tplc="8BEC4400">
      <w:start w:val="1"/>
      <w:numFmt w:val="bullet"/>
      <w:lvlText w:val="●"/>
      <w:lvlJc w:val="left"/>
      <w:pPr>
        <w:ind w:left="6480" w:hanging="360"/>
      </w:pPr>
    </w:lvl>
  </w:abstractNum>
  <w:num w:numId="1" w16cid:durableId="377824525">
    <w:abstractNumId w:val="1"/>
    <w:lvlOverride w:ilvl="0">
      <w:startOverride w:val="1"/>
    </w:lvlOverride>
  </w:num>
  <w:num w:numId="2" w16cid:durableId="682779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FB1"/>
    <w:rsid w:val="00324BD9"/>
    <w:rsid w:val="00AD4FB1"/>
    <w:rsid w:val="00B362F9"/>
    <w:rsid w:val="00D0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AB025"/>
  <w15:docId w15:val="{AEFDF6A2-7435-C446-87DA-387FD059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Feirando - KPI Framework</dc:title>
  <dc:creator>Mohammed Adnan</dc:creator>
  <cp:lastModifiedBy>Microsoft Office User</cp:lastModifiedBy>
  <cp:revision>2</cp:revision>
  <dcterms:created xsi:type="dcterms:W3CDTF">2026-10-16T14:53:00Z</dcterms:created>
  <dcterms:modified xsi:type="dcterms:W3CDTF">2026-10-21T16:03:00Z</dcterms:modified>
</cp:coreProperties>
</file>