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Informe del proyecto A</w:t>
      </w:r>
    </w:p>
    <w:p>
      <w:pPr>
        <w:spacing w:after="200"/>
      </w:pPr>
      <w:r>
        <w:t xml:space="preserve">Este documento forma parte de la actividad de integridad de archivos. Su contenido es solo de práctica.</w:t>
      </w:r>
    </w:p>
    <w:p>
      <w:pPr>
        <w:pStyle w:val="Heading2"/>
      </w:pPr>
      <w:r>
        <w:t xml:space="preserve">Objetivo</w:t>
      </w:r>
    </w:p>
    <w:p>
      <w:pPr>
        <w:spacing w:after="200"/>
      </w:pPr>
      <w:r>
        <w:t xml:space="preserve">Comprobar que un hash permite detectar si un archivo fue modificado, incluso cuando el cambio es mínimo.</w:t>
      </w:r>
    </w:p>
    <w:p>
      <w:pPr>
        <w:pStyle w:val="Heading2"/>
      </w:pPr>
      <w:r>
        <w:t xml:space="preserve">Conclusión</w:t>
      </w:r>
    </w:p>
    <w:p>
      <w:r>
        <w:t xml:space="preserve">Si dos archivos tienen el mismo hash, su contenido es idéntico, aunque tengan nombres distintos.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2026-10-16T04:06:50.434Z</dcterms:created>
  <dcterms:modified xsi:type="dcterms:W3CDTF">2026-10-16T04:06:50.438Z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