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</w:pPr>
      <w:r>
        <w:rPr>
          <w:rFonts w:ascii="Arial Unicode MS" w:hAnsi="Arial Unicode MS" w:eastAsia="Arial Unicode MS"/>
          <w:b/>
          <w:color w:val="B8860B"/>
          <w:sz w:val="21"/>
        </w:rPr>
        <w:t>可审计机制参考</w:t>
      </w:r>
    </w:p>
    <w:p>
      <w:pPr>
        <w:spacing w:after="200"/>
        <w:jc w:val="center"/>
      </w:pPr>
      <w:r>
        <w:rPr>
          <w:rFonts w:ascii="Arial Unicode MS" w:hAnsi="Arial Unicode MS" w:eastAsia="Arial Unicode MS"/>
          <w:b/>
          <w:color w:val="0B2545"/>
          <w:sz w:val="56"/>
        </w:rPr>
        <w:t>《剑指美加墨》机制算法与胜率证据（评委版）</w:t>
      </w:r>
    </w:p>
    <w:p>
      <w:pPr>
        <w:spacing w:after="1400"/>
        <w:jc w:val="center"/>
      </w:pPr>
      <w:r>
        <w:rPr>
          <w:rFonts w:ascii="Arial Unicode MS" w:hAnsi="Arial Unicode MS" w:eastAsia="Arial Unicode MS"/>
          <w:color w:val="1F4D78"/>
          <w:sz w:val="28"/>
        </w:rPr>
        <w:t>所有影响胜率的入口、公式、状态与验证证据</w:t>
      </w:r>
    </w:p>
    <w:p>
      <w:pPr>
        <w:jc w:val="center"/>
      </w:pPr>
      <w:r>
        <w:rPr>
          <w:rFonts w:ascii="Arial Unicode MS" w:hAnsi="Arial Unicode MS" w:eastAsia="Arial Unicode MS"/>
          <w:i/>
          <w:color w:val="667085"/>
          <w:sz w:val="22"/>
        </w:rPr>
        <w:t>公式可追溯 · 状态可验证 · 结论可复现</w:t>
      </w:r>
    </w:p>
    <w:p>
      <w:r>
        <w:br w:type="page"/>
      </w:r>
    </w:p>
    <w:p>
      <w:r>
        <w:rPr>
          <w:rFonts w:ascii="Arial Unicode MS" w:hAnsi="Arial Unicode MS" w:eastAsia="Arial Unicode MS"/>
        </w:rPr>
        <w:t>版本：2026-07-26｜口径：当前 16 支可执教球队｜原则：只把已经进入代码链路的机制写成“生效”</w:t>
      </w:r>
    </w:p>
    <w:p>
      <w:pPr>
        <w:pStyle w:val="Heading1"/>
      </w:pPr>
      <w:r>
        <w:rPr>
          <w:rFonts w:ascii="Arial Unicode MS" w:hAnsi="Arial Unicode MS" w:eastAsia="Arial Unicode MS"/>
        </w:rPr>
        <w:t>1. 算法总原则</w:t>
      </w:r>
    </w:p>
    <w:p>
      <w:r>
        <w:rPr>
          <w:rFonts w:ascii="Arial Unicode MS" w:hAnsi="Arial Unicode MS" w:eastAsia="Arial Unicode MS"/>
        </w:rPr>
        <w:t>比赛结果由三层共同决定：</w:t>
      </w:r>
    </w:p>
    <w:p>
      <w:pPr>
        <w:pStyle w:val="ListNumber"/>
        <w:numPr>
          <w:ilvl w:val="0"/>
          <w:numId w:val="10"/>
        </w:numPr>
      </w:pPr>
      <w:r>
        <w:rPr>
          <w:rFonts w:ascii="Arial Unicode MS" w:hAnsi="Arial Unicode MS" w:eastAsia="Arial Unicode MS"/>
          <w:b/>
        </w:rPr>
        <w:t>基础实力层</w:t>
      </w:r>
      <w:r>
        <w:rPr>
          <w:rFonts w:ascii="Arial Unicode MS" w:hAnsi="Arial Unicode MS" w:eastAsia="Arial Unicode MS"/>
        </w:rPr>
        <w:t>：球员能力、位置适配、首发结构、体力、状态和对手实力。</w:t>
      </w:r>
    </w:p>
    <w:p>
      <w:pPr>
        <w:pStyle w:val="ListNumber"/>
        <w:numPr>
          <w:ilvl w:val="0"/>
          <w:numId w:val="10"/>
        </w:numPr>
      </w:pPr>
      <w:r>
        <w:rPr>
          <w:rFonts w:ascii="Arial Unicode MS" w:hAnsi="Arial Unicode MS" w:eastAsia="Arial Unicode MS"/>
          <w:b/>
        </w:rPr>
        <w:t>教练干预层</w:t>
      </w:r>
      <w:r>
        <w:rPr>
          <w:rFonts w:ascii="Arial Unicode MS" w:hAnsi="Arial Unicode MS" w:eastAsia="Arial Unicode MS"/>
        </w:rPr>
        <w:t>：阵型、战术姿态、换人、场内决策和更衣室选择。</w:t>
      </w:r>
    </w:p>
    <w:p>
      <w:pPr>
        <w:pStyle w:val="ListNumber"/>
        <w:numPr>
          <w:ilvl w:val="0"/>
          <w:numId w:val="10"/>
        </w:numPr>
      </w:pPr>
      <w:r>
        <w:rPr>
          <w:rFonts w:ascii="Arial Unicode MS" w:hAnsi="Arial Unicode MS" w:eastAsia="Arial Unicode MS"/>
          <w:b/>
        </w:rPr>
        <w:t>征程准备层</w:t>
      </w:r>
      <w:r>
        <w:rPr>
          <w:rFonts w:ascii="Arial Unicode MS" w:hAnsi="Arial Unicode MS" w:eastAsia="Arial Unicode MS"/>
        </w:rPr>
        <w:t>：医疗、营养、心理、训练的直接修正，以及数据/球探带来的信息优势。</w:t>
      </w:r>
    </w:p>
    <w:p>
      <w:r>
        <w:rPr>
          <w:rFonts w:ascii="Arial Unicode MS" w:hAnsi="Arial Unicode MS" w:eastAsia="Arial Unicode MS"/>
        </w:rPr>
        <w:t>AI、商业化和纯展示文案不进入比分结算。比赛画面、比分、统计、播报、决策和 VAR 以 Runtime 事件为权威来源，避免“画面踢一套，后台算另一套”。</w:t>
      </w:r>
    </w:p>
    <w:p>
      <w:pPr>
        <w:pStyle w:val="Heading1"/>
      </w:pPr>
      <w:r>
        <w:rPr>
          <w:rFonts w:ascii="Arial Unicode MS" w:hAnsi="Arial Unicode MS" w:eastAsia="Arial Unicode MS"/>
        </w:rPr>
        <w:t>2. 所有会影响胜率的入口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1850"/>
        <w:gridCol w:w="2700"/>
        <w:gridCol w:w="1600"/>
        <w:gridCol w:w="1760"/>
      </w:tblGrid>
      <w:tr>
        <w:trPr>
          <w:trHeight w:hRule="atLeast"/>
          <w:cantSplit/>
          <w:tblHeader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来源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玩家可控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进入算法的位置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实际作用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证据级别</w:t>
            </w:r>
          </w:p>
        </w:tc>
      </w:tr>
      <w:tr>
        <w:trPr>
          <w:trHeight w:hRule="atLeast"/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球员能力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间接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7"/>
              </w:rPr>
              <w:t>lineupBalance</w:t>
            </w:r>
            <w:r>
              <w:rPr>
                <w:rFonts w:ascii="Arial Unicode MS" w:hAnsi="Arial Unicode MS" w:eastAsia="Arial Unicode MS"/>
                <w:sz w:val="17"/>
              </w:rPr>
              <w:t>、Runtime actor 属性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技术、速度、身体、防守、体力构成位置角色评分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正式链路</w:t>
            </w:r>
          </w:p>
        </w:tc>
      </w:tr>
      <w:tr>
        <w:trPr>
          <w:trHeight w:hRule="atLeast"/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位置适配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是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7"/>
              </w:rPr>
              <w:t>POSITION_COMPAT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错位按 0.12–0.68 等比例降低有效能力，天然位置为 1.0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正式链路</w:t>
            </w:r>
          </w:p>
        </w:tc>
      </w:tr>
      <w:tr>
        <w:trPr>
          <w:trHeight w:hRule="atLeast"/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首发结构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是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7"/>
              </w:rPr>
              <w:t>calculateLineupRatings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天然门将、天然后卫覆盖、错位人数共同影响防守完整性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正式链路</w:t>
            </w:r>
          </w:p>
        </w:tc>
      </w:tr>
      <w:tr>
        <w:trPr>
          <w:trHeight w:hRule="atLeast"/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10 套阵型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是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7"/>
              </w:rPr>
              <w:t>FORMATION_PROFILE</w:t>
            </w:r>
            <w:r>
              <w:rPr>
                <w:rFonts w:ascii="Arial Unicode MS" w:hAnsi="Arial Unicode MS" w:eastAsia="Arial Unicode MS"/>
                <w:sz w:val="17"/>
              </w:rPr>
              <w:t xml:space="preserve"> / Runtime 站位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攻击、防守、中场权重与人数结构不同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正式链路</w:t>
            </w:r>
          </w:p>
        </w:tc>
      </w:tr>
      <w:tr>
        <w:trPr>
          <w:trHeight w:hRule="atLeast"/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阵型克制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是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情报建议 + 阵型评分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按对手结构推荐反制阵型；使用后改变正式阵容输入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信息→正式链路</w:t>
            </w:r>
          </w:p>
        </w:tc>
      </w:tr>
      <w:tr>
        <w:trPr>
          <w:trHeight w:hRule="atLeast"/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5 档战术姿态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是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Runtime tactical preset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改变阵型前后位移、宽度、AI 倾向、跑动风险和体耗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正式链路</w:t>
            </w:r>
          </w:p>
        </w:tc>
      </w:tr>
      <w:tr>
        <w:trPr>
          <w:trHeight w:hRule="atLeast"/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换人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是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Runtime actor substitution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新球员接管场上 slot，带入新鲜体力与角色能力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正式链路</w:t>
            </w:r>
          </w:p>
        </w:tc>
      </w:tr>
      <w:tr>
        <w:trPr>
          <w:trHeight w:hRule="atLeast"/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53 个场内决策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是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7"/>
              </w:rPr>
              <w:t>decisionSystem</w:t>
            </w:r>
            <w:r>
              <w:rPr>
                <w:rFonts w:ascii="Arial Unicode MS" w:hAnsi="Arial Unicode MS" w:eastAsia="Arial Unicode MS"/>
                <w:sz w:val="17"/>
              </w:rPr>
              <w:t xml:space="preserve"> + V3 导演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关键球员属性、比赛状态和选项概率决定结果，可改变比分/统计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正式链路</w:t>
            </w:r>
          </w:p>
        </w:tc>
      </w:tr>
      <w:tr>
        <w:trPr>
          <w:trHeight w:hRule="atLeast"/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更衣室选择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是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7"/>
              </w:rPr>
              <w:t>lockerRoomDecisions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改变士气、状态、体力；士气/状态合计最高 ±7 个百分点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正式链路</w:t>
            </w:r>
          </w:p>
        </w:tc>
      </w:tr>
      <w:tr>
        <w:trPr>
          <w:trHeight w:hRule="atLeast"/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伤病与红黄牌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部分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7"/>
              </w:rPr>
              <w:t>formalMatchRules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球员可能离场、停赛或以较低状态进入后续比赛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正式链路</w:t>
            </w:r>
          </w:p>
        </w:tc>
      </w:tr>
      <w:tr>
        <w:trPr>
          <w:trHeight w:hRule="atLeast"/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医疗团队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是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7"/>
              </w:rPr>
              <w:t>logisticsEffects</w:t>
            </w:r>
            <w:r>
              <w:rPr>
                <w:rFonts w:ascii="Arial Unicode MS" w:hAnsi="Arial Unicode MS" w:eastAsia="Arial Unicode MS"/>
                <w:sz w:val="17"/>
              </w:rPr>
              <w:t xml:space="preserve"> / 赛后结算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伤病概率、恢复、淘汰赛体力、体耗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正式链路</w:t>
            </w:r>
          </w:p>
        </w:tc>
      </w:tr>
      <w:tr>
        <w:trPr>
          <w:trHeight w:hRule="atLeast"/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营养团队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是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7"/>
              </w:rPr>
              <w:t>logisticsEffects</w:t>
            </w:r>
            <w:r>
              <w:rPr>
                <w:rFonts w:ascii="Arial Unicode MS" w:hAnsi="Arial Unicode MS" w:eastAsia="Arial Unicode MS"/>
                <w:sz w:val="17"/>
              </w:rPr>
              <w:t xml:space="preserve"> / Runtime 开场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开场体力、连续比赛疲劳、核心疲劳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正式链路</w:t>
            </w:r>
          </w:p>
        </w:tc>
      </w:tr>
      <w:tr>
        <w:trPr>
          <w:trHeight w:hRule="atLeast"/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心理团队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是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7"/>
              </w:rPr>
              <w:t>logisticsEffects</w:t>
            </w:r>
            <w:r>
              <w:rPr>
                <w:rFonts w:ascii="Arial Unicode MS" w:hAnsi="Arial Unicode MS" w:eastAsia="Arial Unicode MS"/>
                <w:sz w:val="17"/>
              </w:rPr>
              <w:t xml:space="preserve"> / 点球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士气衰减、点球稳定性、决赛压力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正式链路</w:t>
            </w:r>
          </w:p>
        </w:tc>
      </w:tr>
      <w:tr>
        <w:trPr>
          <w:trHeight w:hRule="atLeast"/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训练基地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是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7"/>
              </w:rPr>
              <w:t>logisticsEffects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训练效率、随机状态提升、训练主题接口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正式链路/部分主题预留</w:t>
            </w:r>
          </w:p>
        </w:tc>
      </w:tr>
      <w:tr>
        <w:trPr>
          <w:trHeight w:hRule="atLeast"/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数据中心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是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7"/>
              </w:rPr>
              <w:t>scoutIntel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从真实对手数据生成优势、危险球员、弱点与战术建议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信息收益</w:t>
            </w:r>
          </w:p>
        </w:tc>
      </w:tr>
      <w:tr>
        <w:trPr>
          <w:trHeight w:hRule="atLeast"/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情报部门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是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7"/>
              </w:rPr>
              <w:t>scoutIntel</w:t>
            </w:r>
            <w:r>
              <w:rPr>
                <w:rFonts w:ascii="Arial Unicode MS" w:hAnsi="Arial Unicode MS" w:eastAsia="Arial Unicode MS"/>
                <w:sz w:val="17"/>
              </w:rPr>
              <w:t xml:space="preserve"> / 门将倾向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近期趋势、惯用阵型、门将扑点偏好、战术预判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信息收益</w:t>
            </w:r>
          </w:p>
        </w:tc>
      </w:tr>
      <w:tr>
        <w:trPr>
          <w:trHeight w:hRule="atLeast"/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教练建议/赛后复盘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是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7"/>
              </w:rPr>
              <w:t>postMatchInsights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根据本场统计指出下一场应改的阵型、纪律、体能或决策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学习收益</w:t>
            </w:r>
          </w:p>
        </w:tc>
      </w:tr>
      <w:tr>
        <w:trPr>
          <w:trHeight w:hRule="atLeast"/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晴/雨天气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否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场景选择与视听层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雨天加入预警与湿滑铲抢节点，不暗改最终比分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情境收益</w:t>
            </w:r>
          </w:p>
        </w:tc>
      </w:tr>
      <w:tr>
        <w:trPr>
          <w:trHeight w:hRule="atLeast"/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球队特色技能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选队决定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7"/>
              </w:rPr>
              <w:t>teams.skillEffect</w:t>
            </w:r>
            <w:r>
              <w:rPr>
                <w:rFonts w:ascii="Arial Unicode MS" w:hAnsi="Arial Unicode MS" w:eastAsia="Arial Unicode MS"/>
                <w:sz w:val="17"/>
              </w:rPr>
              <w:t xml:space="preserve"> 数据合同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16 条效果与条件已定义；逐队 Runtime A/B 尚未全部验收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数据合同，待统一验收</w:t>
            </w:r>
          </w:p>
        </w:tc>
      </w:tr>
      <w:tr>
        <w:trPr>
          <w:trHeight w:hRule="atLeast"/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商业道具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暂不可用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0B2545"/>
                <w:sz w:val="17"/>
              </w:rPr>
              <w:t>commercialization</w:t>
            </w:r>
            <w:r>
              <w:rPr>
                <w:rFonts w:ascii="Arial Unicode MS" w:hAnsi="Arial Unicode MS" w:eastAsia="Arial Unicode MS"/>
                <w:sz w:val="17"/>
              </w:rPr>
              <w:t xml:space="preserve"> 占位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不购买比分、胜利、裁判偏置或决策概率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不进入正式链路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rial Unicode MS" w:hAnsi="Arial Unicode MS" w:eastAsia="Arial Unicode MS"/>
        </w:rPr>
        <w:t>3. 首发与位置评分</w:t>
      </w:r>
    </w:p>
    <w:p>
      <w:pPr>
        <w:pStyle w:val="Heading2"/>
      </w:pPr>
      <w:r>
        <w:rPr>
          <w:rFonts w:ascii="Arial Unicode MS" w:hAnsi="Arial Unicode MS" w:eastAsia="Arial Unicode MS"/>
        </w:rPr>
        <w:t>3.1 位置兼容度</w:t>
      </w:r>
    </w:p>
    <w:p>
      <w:r>
        <w:rPr>
          <w:rFonts w:ascii="Arial Unicode MS" w:hAnsi="Arial Unicode MS" w:eastAsia="Arial Unicode MS"/>
        </w:rPr>
        <w:t>天然位置为 1.0。典型错位示例：中场踢后卫为 0.55，前锋踢中场为 0.62，后卫踢前锋为 0.42，非门将客串门将最低可到 0.12。有效评分为：</w:t>
      </w:r>
    </w:p>
    <w:p>
      <w:r>
        <w:rPr>
          <w:rFonts w:ascii="Arial Unicode MS" w:hAnsi="Arial Unicode MS" w:eastAsia="Arial Unicode MS"/>
          <w:color w:val="0B2545"/>
          <w:sz w:val="19"/>
        </w:rPr>
        <w:t>effectiveRating = round(player.rating × positionCompatibility)</w:t>
      </w:r>
    </w:p>
    <w:p>
      <w:r>
        <w:rPr>
          <w:rFonts w:ascii="Arial Unicode MS" w:hAnsi="Arial Unicode MS" w:eastAsia="Arial Unicode MS"/>
        </w:rPr>
        <w:t>这保证“把 11 个最高分球员塞上场”不是稳定最优解。</w:t>
      </w:r>
    </w:p>
    <w:p>
      <w:pPr>
        <w:pStyle w:val="Heading2"/>
      </w:pPr>
      <w:r>
        <w:rPr>
          <w:rFonts w:ascii="Arial Unicode MS" w:hAnsi="Arial Unicode MS" w:eastAsia="Arial Unicode MS"/>
        </w:rPr>
        <w:t>3.2 角色评分</w:t>
      </w:r>
    </w:p>
    <w:p>
      <w:pPr>
        <w:pStyle w:val="ListBullet"/>
      </w:pPr>
      <w:r>
        <w:rPr>
          <w:rFonts w:ascii="Arial Unicode MS" w:hAnsi="Arial Unicode MS" w:eastAsia="Arial Unicode MS"/>
        </w:rPr>
        <w:t>门将：防守 55% + 身体 25% + 速度 20%。</w:t>
      </w:r>
    </w:p>
    <w:p>
      <w:pPr>
        <w:pStyle w:val="ListBullet"/>
      </w:pPr>
      <w:r>
        <w:rPr>
          <w:rFonts w:ascii="Arial Unicode MS" w:hAnsi="Arial Unicode MS" w:eastAsia="Arial Unicode MS"/>
        </w:rPr>
        <w:t>后卫：防守 58% + 身体 22% + 速度 12% + 体力 8%。</w:t>
      </w:r>
    </w:p>
    <w:p>
      <w:pPr>
        <w:pStyle w:val="ListBullet"/>
      </w:pPr>
      <w:r>
        <w:rPr>
          <w:rFonts w:ascii="Arial Unicode MS" w:hAnsi="Arial Unicode MS" w:eastAsia="Arial Unicode MS"/>
        </w:rPr>
        <w:t>中场：技术 45% + 防守 25% + 体力 20% + 速度 10%。</w:t>
      </w:r>
    </w:p>
    <w:p>
      <w:pPr>
        <w:pStyle w:val="ListBullet"/>
      </w:pPr>
      <w:r>
        <w:rPr>
          <w:rFonts w:ascii="Arial Unicode MS" w:hAnsi="Arial Unicode MS" w:eastAsia="Arial Unicode MS"/>
        </w:rPr>
        <w:t>前锋：技术 45% + 速度 30% + 身体 15% + 体力 10%。</w:t>
      </w:r>
    </w:p>
    <w:p>
      <w:pPr>
        <w:pStyle w:val="Heading2"/>
      </w:pPr>
      <w:r>
        <w:rPr>
          <w:rFonts w:ascii="Arial Unicode MS" w:hAnsi="Arial Unicode MS" w:eastAsia="Arial Unicode MS"/>
        </w:rPr>
        <w:t>3.3 防守完整性</w:t>
      </w:r>
    </w:p>
    <w:p>
      <w:r>
        <w:rPr>
          <w:rFonts w:ascii="Arial Unicode MS" w:hAnsi="Arial Unicode MS" w:eastAsia="Arial Unicode MS"/>
        </w:rPr>
        <w:t>防守完整性同时考虑天然后卫覆盖、天然门将、后卫错位数量和全队错位数量，并限制在 0.18–1.04。最终三维评分为：</w:t>
      </w:r>
    </w:p>
    <w:p>
      <w:r>
        <w:rPr>
          <w:rFonts w:ascii="Arial Unicode MS" w:hAnsi="Arial Unicode MS" w:eastAsia="Arial Unicode MS"/>
          <w:color w:val="0B2545"/>
          <w:sz w:val="19"/>
        </w:rPr>
        <w:t>overall = 0.32 × attack + 0.26 × midfield + 0.42 × defense</w:t>
      </w:r>
    </w:p>
    <w:p>
      <w:r>
        <w:rPr>
          <w:rFonts w:ascii="Arial Unicode MS" w:hAnsi="Arial Unicode MS" w:eastAsia="Arial Unicode MS"/>
        </w:rPr>
        <w:t>因此错误阵容不仅丢一点总评，而会更明显地破坏防守。</w:t>
      </w:r>
    </w:p>
    <w:p>
      <w:pPr>
        <w:pStyle w:val="Heading1"/>
      </w:pPr>
      <w:r>
        <w:rPr>
          <w:rFonts w:ascii="Arial Unicode MS" w:hAnsi="Arial Unicode MS" w:eastAsia="Arial Unicode MS"/>
        </w:rPr>
        <w:t>4. 10 套阵型与结构取舍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2450"/>
        <w:gridCol w:w="3150"/>
        <w:gridCol w:w="2210"/>
      </w:tblGrid>
      <w:tr>
        <w:trPr>
          <w:trHeight w:hRule="atLeast"/>
          <w:cantSplit/>
          <w:tblHeader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阵型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风格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结构收益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主要风险/反制</w:t>
            </w:r>
          </w:p>
        </w:tc>
      </w:tr>
      <w:tr>
        <w:trPr>
          <w:trHeight w:hRule="atLeast"/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4-3-3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偏进攻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宽度、边锋与前场压迫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双后腰体系可切断边路供给</w:t>
            </w:r>
          </w:p>
        </w:tc>
      </w:tr>
      <w:tr>
        <w:trPr>
          <w:trHeight w:hRule="atLeast"/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4-4-2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平衡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双前锋、边路传中、两条四人线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五中场可能形成中路人数优势</w:t>
            </w:r>
          </w:p>
        </w:tc>
      </w:tr>
      <w:tr>
        <w:trPr>
          <w:trHeight w:hRule="atLeast"/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4-2-3-1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稳守反击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双后腰保护、前腰串联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双前锋可牵扯后腰注意力</w:t>
            </w:r>
          </w:p>
        </w:tc>
      </w:tr>
      <w:tr>
        <w:trPr>
          <w:trHeight w:hRule="atLeast"/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4-3-2-1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中路进攻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双影锋、短传渗透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横向覆盖会封住中路通道</w:t>
            </w:r>
          </w:p>
        </w:tc>
      </w:tr>
      <w:tr>
        <w:trPr>
          <w:trHeight w:hRule="atLeast"/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3-5-2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控球压上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五中场控球、翼卫宽度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翼卫身后容易被三前锋反击</w:t>
            </w:r>
          </w:p>
        </w:tc>
      </w:tr>
      <w:tr>
        <w:trPr>
          <w:trHeight w:hRule="atLeast"/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3-4-3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强攻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前场人数与禁区压力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五后卫收缩后可反击翼卫身后</w:t>
            </w:r>
          </w:p>
        </w:tc>
      </w:tr>
      <w:tr>
        <w:trPr>
          <w:trHeight w:hRule="atLeast"/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3-4-2-1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机动压迫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攻击中场自由换位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平行四中场可压制出球路线</w:t>
            </w:r>
          </w:p>
        </w:tc>
      </w:tr>
      <w:tr>
        <w:trPr>
          <w:trHeight w:hRule="atLeast"/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5-3-2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偏防守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禁区保护、双前锋反击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宽度容易被 4-3-3 拉扯</w:t>
            </w:r>
          </w:p>
        </w:tc>
      </w:tr>
      <w:tr>
        <w:trPr>
          <w:trHeight w:hRule="atLeast"/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5-4-1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铁桶阵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极致收缩、保护领先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持球与前场接应不足</w:t>
            </w:r>
          </w:p>
        </w:tc>
      </w:tr>
      <w:tr>
        <w:trPr>
          <w:trHeight w:hRule="atLeast"/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4-1-4-1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中场压迫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横向覆盖、二点球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双影锋可攻击单后腰两侧</w:t>
            </w:r>
          </w:p>
        </w:tc>
      </w:tr>
    </w:tbl>
    <w:p>
      <w:pPr>
        <w:spacing w:after="40"/>
      </w:pPr>
    </w:p>
    <w:p>
      <w:r>
        <w:rPr>
          <w:rFonts w:ascii="Arial Unicode MS" w:hAnsi="Arial Unicode MS" w:eastAsia="Arial Unicode MS"/>
        </w:rPr>
        <w:t>情报系统在等级足够时会读取对手真实阵型并给出克制建议，但最终是否更换仍由玩家决定。</w:t>
      </w:r>
    </w:p>
    <w:p>
      <w:pPr>
        <w:pStyle w:val="Heading1"/>
      </w:pPr>
      <w:r>
        <w:rPr>
          <w:rFonts w:ascii="Arial Unicode MS" w:hAnsi="Arial Unicode MS" w:eastAsia="Arial Unicode MS"/>
        </w:rPr>
        <w:t>5. 五档战术姿态的可量化代价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1400"/>
        <w:gridCol w:w="1600"/>
        <w:gridCol w:w="1600"/>
        <w:gridCol w:w="1600"/>
        <w:gridCol w:w="1760"/>
      </w:tblGrid>
      <w:tr>
        <w:trPr>
          <w:trHeight w:hRule="atLeast"/>
          <w:cantSplit/>
          <w:tblHeader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姿态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纵向位移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宽度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AI 倾向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跑动风险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体力消耗倍率</w:t>
            </w:r>
          </w:p>
        </w:tc>
      </w:tr>
      <w:tr>
        <w:trPr>
          <w:trHeight w:hRule="atLeast"/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全员压上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+0.15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1.18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3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1.28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1.45</w:t>
            </w:r>
          </w:p>
        </w:tc>
      </w:tr>
      <w:tr>
        <w:trPr>
          <w:trHeight w:hRule="atLeast"/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进攻主导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+0.07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1.10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3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1.14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1.20</w:t>
            </w:r>
          </w:p>
        </w:tc>
      </w:tr>
      <w:tr>
        <w:trPr>
          <w:trHeight w:hRule="atLeast"/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攻守平衡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0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1.00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2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1.00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1.00</w:t>
            </w:r>
          </w:p>
        </w:tc>
      </w:tr>
      <w:tr>
        <w:trPr>
          <w:trHeight w:hRule="atLeast"/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稳守反击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-0.07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0.92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1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0.88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0.82</w:t>
            </w:r>
          </w:p>
        </w:tc>
      </w:tr>
      <w:tr>
        <w:trPr>
          <w:trHeight w:hRule="atLeast"/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全员防守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-0.14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0.82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1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0.72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0.68</w:t>
            </w:r>
          </w:p>
        </w:tc>
      </w:tr>
    </w:tbl>
    <w:p>
      <w:pPr>
        <w:spacing w:after="40"/>
      </w:pPr>
    </w:p>
    <w:p>
      <w:r>
        <w:rPr>
          <w:rFonts w:ascii="Arial Unicode MS" w:hAnsi="Arial Unicode MS" w:eastAsia="Arial Unicode MS"/>
        </w:rPr>
        <w:t>正号代表向进攻方向前移。战术没有绝对最优：压上增加进攻人数和风险，也会让体力更快下降；回收能保护领先，却牺牲宽度和持续进攻。</w:t>
      </w:r>
    </w:p>
    <w:p>
      <w:pPr>
        <w:pStyle w:val="Heading1"/>
      </w:pPr>
      <w:r>
        <w:rPr>
          <w:rFonts w:ascii="Arial Unicode MS" w:hAnsi="Arial Unicode MS" w:eastAsia="Arial Unicode MS"/>
        </w:rPr>
        <w:t>6. 换人为什么真实影响比赛</w:t>
      </w:r>
    </w:p>
    <w:p>
      <w:pPr>
        <w:pStyle w:val="ListBullet"/>
      </w:pPr>
      <w:r>
        <w:rPr>
          <w:rFonts w:ascii="Arial Unicode MS" w:hAnsi="Arial Unicode MS" w:eastAsia="Arial Unicode MS"/>
        </w:rPr>
        <w:t>规则限制：最多 5 名球员、3 个换人窗口。</w:t>
      </w:r>
    </w:p>
    <w:p>
      <w:pPr>
        <w:pStyle w:val="ListBullet"/>
      </w:pPr>
      <w:r>
        <w:rPr>
          <w:rFonts w:ascii="Arial Unicode MS" w:hAnsi="Arial Unicode MS" w:eastAsia="Arial Unicode MS"/>
        </w:rPr>
        <w:t>Runtime 同步：替补接管被换下者的正式场上 slot 和业务 actor 身份。</w:t>
      </w:r>
    </w:p>
    <w:p>
      <w:pPr>
        <w:pStyle w:val="ListBullet"/>
      </w:pPr>
      <w:r>
        <w:rPr>
          <w:rFonts w:ascii="Arial Unicode MS" w:hAnsi="Arial Unicode MS" w:eastAsia="Arial Unicode MS"/>
        </w:rPr>
        <w:t>资格限制：受伤、停赛和不可用球员不能被换上；被换下者不可重新登场。</w:t>
      </w:r>
    </w:p>
    <w:p>
      <w:pPr>
        <w:pStyle w:val="ListBullet"/>
      </w:pPr>
      <w:r>
        <w:rPr>
          <w:rFonts w:ascii="Arial Unicode MS" w:hAnsi="Arial Unicode MS" w:eastAsia="Arial Unicode MS"/>
        </w:rPr>
        <w:t>决策意义：替补带入新的体力、状态、能力和位置匹配；不换人会让下半程持续承受疲劳。</w:t>
      </w:r>
    </w:p>
    <w:p>
      <w:r>
        <w:rPr>
          <w:rFonts w:ascii="Arial Unicode MS" w:hAnsi="Arial Unicode MS" w:eastAsia="Arial Unicode MS"/>
        </w:rPr>
        <w:t>全链路模拟的法国对巴西样本中，正常换人的胜率为 84.7%，关闭换人后为 78.7%；该数字是开发模型的方向性证据，不替代 Runtime 实机验收。</w:t>
      </w:r>
    </w:p>
    <w:p>
      <w:pPr>
        <w:pStyle w:val="Heading1"/>
      </w:pPr>
      <w:r>
        <w:rPr>
          <w:rFonts w:ascii="Arial Unicode MS" w:hAnsi="Arial Unicode MS" w:eastAsia="Arial Unicode MS"/>
        </w:rPr>
        <w:t>7. 场内决策与更衣室</w:t>
      </w:r>
    </w:p>
    <w:p>
      <w:pPr>
        <w:pStyle w:val="Heading2"/>
      </w:pPr>
      <w:r>
        <w:rPr>
          <w:rFonts w:ascii="Arial Unicode MS" w:hAnsi="Arial Unicode MS" w:eastAsia="Arial Unicode MS"/>
        </w:rPr>
        <w:t>7.1 场内 53 场景</w:t>
      </w:r>
    </w:p>
    <w:p>
      <w:r>
        <w:rPr>
          <w:rFonts w:ascii="Arial Unicode MS" w:hAnsi="Arial Unicode MS" w:eastAsia="Arial Unicode MS"/>
        </w:rPr>
        <w:t>系统当前包含 53 个场景、126 个选择、400 条 outcome 分支，覆盖单刀、传中、反击、任意球、点球、远射、角球、门将 1v1、最后一人铲抢、高压陷阱、补时门将前插、VAR、天气湿滑等情境。</w:t>
      </w:r>
    </w:p>
    <w:p>
      <w:r>
        <w:rPr>
          <w:rFonts w:ascii="Arial Unicode MS" w:hAnsi="Arial Unicode MS" w:eastAsia="Arial Unicode MS"/>
        </w:rPr>
        <w:t>成功率不是固定文案：关键球员属性、对手防守、比分、时间、淘汰赛状态、士气/状态修正共同进入计算。结果会反向写入比分、射门、角球、点球、犯规和红黄牌统计。</w:t>
      </w:r>
    </w:p>
    <w:p>
      <w:pPr>
        <w:pStyle w:val="Heading2"/>
      </w:pPr>
      <w:r>
        <w:rPr>
          <w:rFonts w:ascii="Arial Unicode MS" w:hAnsi="Arial Unicode MS" w:eastAsia="Arial Unicode MS"/>
        </w:rPr>
        <w:t>7.2 更衣室 42 场景</w:t>
      </w:r>
    </w:p>
    <w:p>
      <w:r>
        <w:rPr>
          <w:rFonts w:ascii="Arial Unicode MS" w:hAnsi="Arial Unicode MS" w:eastAsia="Arial Unicode MS"/>
        </w:rPr>
        <w:t xml:space="preserve">更衣室选择直接写入具体 actor 的 </w:t>
      </w:r>
      <w:r>
        <w:rPr>
          <w:rFonts w:ascii="Arial Unicode MS" w:hAnsi="Arial Unicode MS" w:eastAsia="Arial Unicode MS"/>
          <w:color w:val="0B2545"/>
          <w:sz w:val="19"/>
        </w:rPr>
        <w:t>morale</w:t>
      </w:r>
      <w:r>
        <w:rPr>
          <w:rFonts w:ascii="Arial Unicode MS" w:hAnsi="Arial Unicode MS" w:eastAsia="Arial Unicode MS"/>
        </w:rPr>
        <w:t>、</w:t>
      </w:r>
      <w:r>
        <w:rPr>
          <w:rFonts w:ascii="Arial Unicode MS" w:hAnsi="Arial Unicode MS" w:eastAsia="Arial Unicode MS"/>
          <w:color w:val="0B2545"/>
          <w:sz w:val="19"/>
        </w:rPr>
        <w:t>form</w:t>
      </w:r>
      <w:r>
        <w:rPr>
          <w:rFonts w:ascii="Arial Unicode MS" w:hAnsi="Arial Unicode MS" w:eastAsia="Arial Unicode MS"/>
        </w:rPr>
        <w:t xml:space="preserve"> 和 </w:t>
      </w:r>
      <w:r>
        <w:rPr>
          <w:rFonts w:ascii="Arial Unicode MS" w:hAnsi="Arial Unicode MS" w:eastAsia="Arial Unicode MS"/>
          <w:color w:val="0B2545"/>
          <w:sz w:val="19"/>
        </w:rPr>
        <w:t>stamina</w:t>
      </w:r>
      <w:r>
        <w:rPr>
          <w:rFonts w:ascii="Arial Unicode MS" w:hAnsi="Arial Unicode MS" w:eastAsia="Arial Unicode MS"/>
        </w:rPr>
        <w:t>。平均士气与状态换算为：</w:t>
      </w:r>
    </w:p>
    <w:p>
      <w:r>
        <w:rPr>
          <w:rFonts w:ascii="Arial Unicode MS" w:hAnsi="Arial Unicode MS" w:eastAsia="Arial Unicode MS"/>
          <w:color w:val="0B2545"/>
          <w:sz w:val="19"/>
        </w:rPr>
        <w:t>bonus = clamp((morale - 70) × 0.004 + (form - 70) × 0.003, -0.07, +0.07)</w:t>
      </w:r>
    </w:p>
    <w:p>
      <w:r>
        <w:rPr>
          <w:rFonts w:ascii="Arial Unicode MS" w:hAnsi="Arial Unicode MS" w:eastAsia="Arial Unicode MS"/>
        </w:rPr>
        <w:t>也就是说，鼓舞、冒险、轮换和坚持都有真实后果，但不会把一次讲话变成必胜按钮。</w:t>
      </w:r>
    </w:p>
    <w:p>
      <w:pPr>
        <w:pStyle w:val="Heading1"/>
      </w:pPr>
      <w:r>
        <w:rPr>
          <w:rFonts w:ascii="Arial Unicode MS" w:hAnsi="Arial Unicode MS" w:eastAsia="Arial Unicode MS"/>
        </w:rPr>
        <w:t>8. 六大后勤部门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600"/>
        <w:gridCol w:w="3860"/>
      </w:tblGrid>
      <w:tr>
        <w:trPr>
          <w:trHeight w:hRule="atLeast"/>
          <w:cantSplit/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部门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0–3 级核心收益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影响类型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医疗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轻伤恢复、伤病概率 -15%/-30%、淘汰赛恢复、体耗 -10%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直接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营养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开场体力 +5/+8、连续比赛疲劳 -15%/-25%、核心免疲劳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直接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心理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士气衰减 -20% 至 -50%、点球稳定性 +15%/+25%、压力免疫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直接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数据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优势评级、危险球员、弱点、完整战术建议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信息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训练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训练效率 +10%/+15%、随机状态提升、训练主题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直接/部分预留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球探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趋势、门将、惯用阵型、战术预判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信息</w:t>
            </w:r>
          </w:p>
        </w:tc>
      </w:tr>
    </w:tbl>
    <w:p>
      <w:pPr>
        <w:spacing w:after="40"/>
      </w:pPr>
    </w:p>
    <w:p>
      <w:r>
        <w:rPr>
          <w:rFonts w:ascii="Arial Unicode MS" w:hAnsi="Arial Unicode MS" w:eastAsia="Arial Unicode MS"/>
        </w:rPr>
        <w:t>10,000 次完整征程的开发模型结果：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2450"/>
        <w:gridCol w:w="3150"/>
        <w:gridCol w:w="2210"/>
      </w:tblGrid>
      <w:tr>
        <w:trPr>
          <w:trHeight w:hRule="atLeast"/>
          <w:cantSplit/>
          <w:tblHeader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配置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场均胜率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夺冠率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相对基线胜率变化</w:t>
            </w:r>
          </w:p>
        </w:tc>
      </w:tr>
      <w:tr>
        <w:trPr>
          <w:trHeight w:hRule="atLeast"/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无后勤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64.7%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8.1%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基线</w:t>
            </w:r>
          </w:p>
        </w:tc>
      </w:tr>
      <w:tr>
        <w:trPr>
          <w:trHeight w:hRule="atLeast"/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医疗 Lv3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67.5%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12.8%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+2.8 个百分点</w:t>
            </w:r>
          </w:p>
        </w:tc>
      </w:tr>
      <w:tr>
        <w:trPr>
          <w:trHeight w:hRule="atLeast"/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营养 Lv3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68.9%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12.3%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+4.2 个百分点</w:t>
            </w:r>
          </w:p>
        </w:tc>
      </w:tr>
      <w:tr>
        <w:trPr>
          <w:trHeight w:hRule="atLeast"/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心理 Lv3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68.2%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10.0%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+3.5 个百分点</w:t>
            </w:r>
          </w:p>
        </w:tc>
      </w:tr>
      <w:tr>
        <w:trPr>
          <w:trHeight w:hRule="atLeast"/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训练 Lv3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73.8%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18.2%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+9.1 个百分点</w:t>
            </w:r>
          </w:p>
        </w:tc>
      </w:tr>
      <w:tr>
        <w:trPr>
          <w:trHeight w:hRule="atLeast"/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四类直接部门全 Lv3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82.7%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41.5%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+18.0 个百分点</w:t>
            </w:r>
          </w:p>
        </w:tc>
      </w:tr>
    </w:tbl>
    <w:p>
      <w:pPr>
        <w:spacing w:after="40"/>
      </w:pPr>
    </w:p>
    <w:p>
      <w:r>
        <w:rPr>
          <w:rFonts w:ascii="Arial Unicode MS" w:hAnsi="Arial Unicode MS" w:eastAsia="Arial Unicode MS"/>
        </w:rPr>
        <w:t>该模拟是平衡实验，不代表玩家能在一届赛事里无成本升满所有部门。正式游戏仍受到预算和升级顺序约束。</w:t>
      </w:r>
    </w:p>
    <w:p>
      <w:pPr>
        <w:pStyle w:val="Heading1"/>
      </w:pPr>
      <w:r>
        <w:rPr>
          <w:rFonts w:ascii="Arial Unicode MS" w:hAnsi="Arial Unicode MS" w:eastAsia="Arial Unicode MS"/>
        </w:rPr>
        <w:t>9. 数据中心、情报与教练建议</w:t>
      </w:r>
    </w:p>
    <w:p>
      <w:pPr>
        <w:pStyle w:val="Heading2"/>
      </w:pPr>
      <w:r>
        <w:rPr>
          <w:rFonts w:ascii="Arial Unicode MS" w:hAnsi="Arial Unicode MS" w:eastAsia="Arial Unicode MS"/>
        </w:rPr>
        <w:t>9.1 信息不是隐藏 buff</w:t>
      </w:r>
    </w:p>
    <w:p>
      <w:r>
        <w:rPr>
          <w:rFonts w:ascii="Arial Unicode MS" w:hAnsi="Arial Unicode MS" w:eastAsia="Arial Unicode MS"/>
        </w:rPr>
        <w:t>数据与球探读取真实对手数据，生成弱点、危险球员、阵型和门将倾向。它们不直接修改随机数；玩家必须把建议转化为选阵、战术、换人或点球方向，正式机制才会改变。</w:t>
      </w:r>
    </w:p>
    <w:p>
      <w:pPr>
        <w:pStyle w:val="Heading2"/>
      </w:pPr>
      <w:r>
        <w:rPr>
          <w:rFonts w:ascii="Arial Unicode MS" w:hAnsi="Arial Unicode MS" w:eastAsia="Arial Unicode MS"/>
        </w:rPr>
        <w:t>9.2 可复现验证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2450"/>
        <w:gridCol w:w="3150"/>
        <w:gridCol w:w="2210"/>
      </w:tblGrid>
      <w:tr>
        <w:trPr>
          <w:trHeight w:hRule="atLeast"/>
          <w:cantSplit/>
          <w:tblHeader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验证项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对照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当前样本结果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说明</w:t>
            </w:r>
          </w:p>
        </w:tc>
      </w:tr>
      <w:tr>
        <w:trPr>
          <w:trHeight w:hRule="atLeast"/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门将弱侧射门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针对弱侧 vs 盲射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87.8% vs 79.0%，+8.8pp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倾向来自门将数据</w:t>
            </w:r>
          </w:p>
        </w:tc>
      </w:tr>
      <w:tr>
        <w:trPr>
          <w:trHeight w:hRule="atLeast"/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阵型克制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推荐克制阵型 vs 非克制阵型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总体约 +2.9pp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个别对阵可受阵容波动影响</w:t>
            </w:r>
          </w:p>
        </w:tc>
      </w:tr>
      <w:tr>
        <w:trPr>
          <w:trHeight w:hRule="atLeast"/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弱点选阵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情报推荐 vs 固定 4-4-2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总体为正收益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建议通过正式阵型输入生效</w:t>
            </w:r>
          </w:p>
        </w:tc>
      </w:tr>
    </w:tbl>
    <w:p>
      <w:pPr>
        <w:spacing w:after="40"/>
      </w:pPr>
    </w:p>
    <w:p>
      <w:r>
        <w:rPr>
          <w:rFonts w:ascii="Arial Unicode MS" w:hAnsi="Arial Unicode MS" w:eastAsia="Arial Unicode MS"/>
        </w:rPr>
        <w:t>赛后教练建议和复盘采用同样原则：读取射门、控球、犯规、牌、体力、换人和关键选择，指出下一场能采取的改法。建议不会自动改写本场或下一场胜率，提升来自玩家真正改变行为。</w:t>
      </w:r>
    </w:p>
    <w:p>
      <w:pPr>
        <w:pStyle w:val="Heading1"/>
      </w:pPr>
      <w:r>
        <w:rPr>
          <w:rFonts w:ascii="Arial Unicode MS" w:hAnsi="Arial Unicode MS" w:eastAsia="Arial Unicode MS"/>
        </w:rPr>
        <w:t>10. 16 支球队技能合同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600"/>
        <w:gridCol w:w="3860"/>
      </w:tblGrid>
      <w:tr>
        <w:trPr>
          <w:trHeight w:hRule="atLeast"/>
          <w:cantSplit/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球队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技能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设计效果合同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西班牙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Tiki-Taka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进攻三区连续三脚传球后，关键传球 +25%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挪威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北欧巨人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身体值最高球员关键节点 +15%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法国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巴黎之魂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上半场技术 +10；下半场额外体耗 5%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阿根廷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绝境反击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落后时攻击 +12；加时再 +8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巴西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桑巴节奏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全队技术 +8；90 分钟后体力 -10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英格兰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三狮之心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75 分钟后士气不掉；落后定位球 +20%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葡萄牙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CR 光环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队内最贵球员关键节点 +20%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日本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高压逼抢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前 60 分钟技术 +8；之后体力 -12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佛得角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群岛韧性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落后时防守 +12；体耗降低 25%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摩洛哥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沙漠之狐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首次失球后防守 +10、反击速度 +15%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德国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日耳曼机器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体耗降低 20%，90 分钟后保持强度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哥伦比亚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咖啡魔法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1v1 盘带 +18%，更易制造犯规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加拿大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枫叶反击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抢断后 10 秒反击速度 +20%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美国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星条气势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主场体耗降低 30%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墨西哥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阿兹特克之魂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对手定位球 -15%，主场气势 +10%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库拉索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海岛之心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点球大战成功率 +30%</w:t>
            </w:r>
          </w:p>
        </w:tc>
      </w:tr>
    </w:tbl>
    <w:p>
      <w:pPr>
        <w:spacing w:after="40"/>
      </w:pPr>
    </w:p>
    <w:p>
      <w:r>
        <w:rPr>
          <w:rFonts w:ascii="Arial Unicode MS" w:hAnsi="Arial Unicode MS" w:eastAsia="Arial Unicode MS"/>
        </w:rPr>
        <w:t>审计说明：以上 16 条都已存在于当前球队数据合同和 UI。它们是明确的设计目标，但尚未完成“16 队 × 对应触发条件”的统一 Runtime A/B 验收。因此评委版把它们标记为</w:t>
      </w:r>
      <w:r>
        <w:rPr>
          <w:rFonts w:ascii="Arial Unicode MS" w:hAnsi="Arial Unicode MS" w:eastAsia="Arial Unicode MS"/>
          <w:b/>
        </w:rPr>
        <w:t>合同已定义、逐队效果待统一验收</w:t>
      </w:r>
      <w:r>
        <w:rPr>
          <w:rFonts w:ascii="Arial Unicode MS" w:hAnsi="Arial Unicode MS" w:eastAsia="Arial Unicode MS"/>
        </w:rPr>
        <w:t>，不把展示文案冒充已经全部证明的胜率增益。</w:t>
      </w:r>
    </w:p>
    <w:p>
      <w:pPr>
        <w:pStyle w:val="Heading1"/>
      </w:pPr>
      <w:r>
        <w:rPr>
          <w:rFonts w:ascii="Arial Unicode MS" w:hAnsi="Arial Unicode MS" w:eastAsia="Arial Unicode MS"/>
        </w:rPr>
        <w:t>11. 实力、目标与冠军分布</w:t>
      </w:r>
    </w:p>
    <w:p>
      <w:pPr>
        <w:pStyle w:val="Heading2"/>
      </w:pPr>
      <w:r>
        <w:rPr>
          <w:rFonts w:ascii="Arial Unicode MS" w:hAnsi="Arial Unicode MS" w:eastAsia="Arial Unicode MS"/>
        </w:rPr>
        <w:t>11.1 实力依据</w:t>
      </w:r>
    </w:p>
    <w:p>
      <w:r>
        <w:rPr>
          <w:rFonts w:ascii="Arial Unicode MS" w:hAnsi="Arial Unicode MS" w:eastAsia="Arial Unicode MS"/>
        </w:rPr>
        <w:t>球员强度来自当前 24 人名单的角色属性与最佳阵容计算；球队目标则综合历史地位、近届大赛表现、阵容深度、东道主身份和叙事张力。二者刻意分开：强队可以有高实力和高压力，弱队则以更低门槛目标获得成功感。</w:t>
      </w:r>
    </w:p>
    <w:p>
      <w:r>
        <w:rPr>
          <w:rFonts w:ascii="Arial Unicode MS" w:hAnsi="Arial Unicode MS" w:eastAsia="Arial Unicode MS"/>
        </w:rPr>
        <w:t>当前最佳阵容评分模型前列为西班牙 84.4、英格兰 84.2、阿根廷 83.9、法国 83.5；佛得角 66.2、库拉索 62.2 位于挑战端。该数值是游戏内相对标尺，不是 FIFA 官方评分。</w:t>
      </w:r>
    </w:p>
    <w:p>
      <w:pPr>
        <w:pStyle w:val="Heading2"/>
      </w:pPr>
      <w:r>
        <w:rPr>
          <w:rFonts w:ascii="Arial Unicode MS" w:hAnsi="Arial Unicode MS" w:eastAsia="Arial Unicode MS"/>
        </w:rPr>
        <w:t>11.2 中立冠军分布</w:t>
      </w:r>
    </w:p>
    <w:p>
      <w:r>
        <w:rPr>
          <w:rFonts w:ascii="Arial Unicode MS" w:hAnsi="Arial Unicode MS" w:eastAsia="Arial Unicode MS"/>
        </w:rPr>
        <w:t>2,000 届 16 队同策略锦标赛（种子 20260726）的中立冠军分布：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2450"/>
        <w:gridCol w:w="3150"/>
        <w:gridCol w:w="2210"/>
      </w:tblGrid>
      <w:tr>
        <w:trPr>
          <w:trHeight w:hRule="atLeast"/>
          <w:cantSplit/>
          <w:tblHeader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球队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冠军占比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球队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冠军占比</w:t>
            </w:r>
          </w:p>
        </w:tc>
      </w:tr>
      <w:tr>
        <w:trPr>
          <w:trHeight w:hRule="atLeast"/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西班牙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34.95%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英格兰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29.75%</w:t>
            </w:r>
          </w:p>
        </w:tc>
      </w:tr>
      <w:tr>
        <w:trPr>
          <w:trHeight w:hRule="atLeast"/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阿根廷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13.50%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法国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9.35%</w:t>
            </w:r>
          </w:p>
        </w:tc>
      </w:tr>
      <w:tr>
        <w:trPr>
          <w:trHeight w:hRule="atLeast"/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挪威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5.45%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摩洛哥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2.65%</w:t>
            </w:r>
          </w:p>
        </w:tc>
      </w:tr>
      <w:tr>
        <w:trPr>
          <w:trHeight w:hRule="atLeast"/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德国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0.90%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葡萄牙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0.85%</w:t>
            </w:r>
          </w:p>
        </w:tc>
      </w:tr>
      <w:tr>
        <w:trPr>
          <w:trHeight w:hRule="atLeast"/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墨西哥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0.70%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巴西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0.50%</w:t>
            </w:r>
          </w:p>
        </w:tc>
      </w:tr>
      <w:tr>
        <w:trPr>
          <w:trHeight w:hRule="atLeast"/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加拿大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0.50%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美国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0.50%</w:t>
            </w:r>
          </w:p>
        </w:tc>
      </w:tr>
      <w:tr>
        <w:trPr>
          <w:trHeight w:hRule="atLeast"/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哥伦比亚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0.30%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日本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0.10%</w:t>
            </w:r>
          </w:p>
        </w:tc>
      </w:tr>
      <w:tr>
        <w:trPr>
          <w:trHeight w:hRule="atLeast"/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佛得角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0.00%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库拉索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7"/>
              </w:rPr>
              <w:t>0.00%</w:t>
            </w:r>
          </w:p>
        </w:tc>
      </w:tr>
    </w:tbl>
    <w:p>
      <w:pPr>
        <w:spacing w:after="40"/>
      </w:pPr>
    </w:p>
    <w:p>
      <w:r>
        <w:rPr>
          <w:rFonts w:ascii="Arial Unicode MS" w:hAnsi="Arial Unicode MS" w:eastAsia="Arial Unicode MS"/>
        </w:rPr>
        <w:t>这组结果暴露了一个重要事实：当前名单属性让西班牙、英格兰和阿根廷明显领先，巴西、德国等传统强队则偏低。它不是要“证明算法完美”，而是作为后续调参的可审计基线。弱队的目标与图鉴设计保证它们即使难以夺冠，也仍有值得完成的征程。</w:t>
      </w:r>
    </w:p>
    <w:p>
      <w:pPr>
        <w:pStyle w:val="Heading1"/>
      </w:pPr>
      <w:r>
        <w:rPr>
          <w:rFonts w:ascii="Arial Unicode MS" w:hAnsi="Arial Unicode MS" w:eastAsia="Arial Unicode MS"/>
        </w:rPr>
        <w:t>12. 晴雨天气</w:t>
      </w:r>
    </w:p>
    <w:p>
      <w:pPr>
        <w:pStyle w:val="ListBullet"/>
      </w:pPr>
      <w:r>
        <w:rPr>
          <w:rFonts w:ascii="Arial Unicode MS" w:hAnsi="Arial Unicode MS" w:eastAsia="Arial Unicode MS"/>
        </w:rPr>
        <w:t>晴天：正常比赛基线。</w:t>
      </w:r>
    </w:p>
    <w:p>
      <w:pPr>
        <w:pStyle w:val="ListBullet"/>
      </w:pPr>
      <w:r>
        <w:rPr>
          <w:rFonts w:ascii="Arial Unicode MS" w:hAnsi="Arial Unicode MS" w:eastAsia="Arial Unicode MS"/>
        </w:rPr>
        <w:t>雨天：像素雨、本地双层雨声音效、赛前雨战预警、湿滑铲抢场景。</w:t>
      </w:r>
    </w:p>
    <w:p>
      <w:r>
        <w:rPr>
          <w:rFonts w:ascii="Arial Unicode MS" w:hAnsi="Arial Unicode MS" w:eastAsia="Arial Unicode MS"/>
        </w:rPr>
        <w:t>天气不直接强制某队输赢，影响通过环境信息和专属决策体现。这样既保留变化，也避免不可解释的“下雨就减 20% 胜率”。</w:t>
      </w:r>
    </w:p>
    <w:p>
      <w:pPr>
        <w:pStyle w:val="Heading1"/>
      </w:pPr>
      <w:r>
        <w:rPr>
          <w:rFonts w:ascii="Arial Unicode MS" w:hAnsi="Arial Unicode MS" w:eastAsia="Arial Unicode MS"/>
        </w:rPr>
        <w:t>13. 道具系统的真实状态</w:t>
      </w:r>
    </w:p>
    <w:p>
      <w:r>
        <w:rPr>
          <w:rFonts w:ascii="Arial Unicode MS" w:hAnsi="Arial Unicode MS" w:eastAsia="Arial Unicode MS"/>
        </w:rPr>
        <w:t>当前已定义运动饮料、冰袋、球鞋、门将手套、战术板和训练器材的使用时机、目标、效果意图和限制，同时明确：</w:t>
      </w:r>
    </w:p>
    <w:p>
      <w:pPr>
        <w:pStyle w:val="ListBullet"/>
      </w:pPr>
      <w:r>
        <w:rPr>
          <w:rFonts w:ascii="Arial Unicode MS" w:hAnsi="Arial Unicode MS" w:eastAsia="Arial Unicode MS"/>
        </w:rPr>
        <w:t>不购买直接进球；</w:t>
      </w:r>
    </w:p>
    <w:p>
      <w:pPr>
        <w:pStyle w:val="ListBullet"/>
      </w:pPr>
      <w:r>
        <w:rPr>
          <w:rFonts w:ascii="Arial Unicode MS" w:hAnsi="Arial Unicode MS" w:eastAsia="Arial Unicode MS"/>
        </w:rPr>
        <w:t>不购买直接胜利；</w:t>
      </w:r>
    </w:p>
    <w:p>
      <w:pPr>
        <w:pStyle w:val="ListBullet"/>
      </w:pPr>
      <w:r>
        <w:rPr>
          <w:rFonts w:ascii="Arial Unicode MS" w:hAnsi="Arial Unicode MS" w:eastAsia="Arial Unicode MS"/>
        </w:rPr>
        <w:t>不购买决策概率；</w:t>
      </w:r>
    </w:p>
    <w:p>
      <w:pPr>
        <w:pStyle w:val="ListBullet"/>
      </w:pPr>
      <w:r>
        <w:rPr>
          <w:rFonts w:ascii="Arial Unicode MS" w:hAnsi="Arial Unicode MS" w:eastAsia="Arial Unicode MS"/>
        </w:rPr>
        <w:t>不购买裁判偏置；</w:t>
      </w:r>
    </w:p>
    <w:p>
      <w:pPr>
        <w:pStyle w:val="ListBullet"/>
      </w:pPr>
      <w:r>
        <w:rPr>
          <w:rFonts w:ascii="Arial Unicode MS" w:hAnsi="Arial Unicode MS" w:eastAsia="Arial Unicode MS"/>
        </w:rPr>
        <w:t>不接真实支付和广告 SDK。</w:t>
      </w:r>
    </w:p>
    <w:p>
      <w:r>
        <w:rPr>
          <w:rFonts w:ascii="Arial Unicode MS" w:hAnsi="Arial Unicode MS" w:eastAsia="Arial Unicode MS"/>
        </w:rPr>
        <w:t>这些道具目前是接口占位，尚未进入正式胜率链路。现阶段真正承担“准备型道具”作用的是六大后勤系统。答辩时应把两者区分开，避免把规划功能说成当前功能。</w:t>
      </w:r>
    </w:p>
    <w:p>
      <w:pPr>
        <w:pStyle w:val="Heading1"/>
      </w:pPr>
      <w:r>
        <w:rPr>
          <w:rFonts w:ascii="Arial Unicode MS" w:hAnsi="Arial Unicode MS" w:eastAsia="Arial Unicode MS"/>
        </w:rPr>
        <w:t>14. 复现方式</w:t>
      </w:r>
    </w:p>
    <w:p>
      <w:pPr>
        <w:pStyle w:val="CodeBlock"/>
        <w:shd w:fill="F4F6F9"/>
      </w:pPr>
      <w:r>
        <w:rPr>
          <w:rFonts w:ascii="Arial Unicode MS" w:hAnsi="Arial Unicode MS" w:eastAsia="Arial Unicode MS"/>
          <w:color w:val="0B2545"/>
          <w:sz w:val="18"/>
        </w:rPr>
        <w:t>node scripts/full-balance-sim.mjs --runs 300 --seed 20260726</w:t>
        <w:br/>
        <w:t>node scripts/logistics-impact-sim.mjs --rounds 10000</w:t>
        <w:br/>
        <w:t>node scripts/intel-validation-sim.mjs --rounds 3000</w:t>
        <w:br/>
        <w:t>npm run audit:decision-scenes</w:t>
        <w:br/>
        <w:t>npm test -- --run</w:t>
      </w:r>
    </w:p>
    <w:p>
      <w:pPr>
        <w:pStyle w:val="Heading1"/>
      </w:pPr>
      <w:r>
        <w:rPr>
          <w:rFonts w:ascii="Arial Unicode MS" w:hAnsi="Arial Unicode MS" w:eastAsia="Arial Unicode MS"/>
        </w:rPr>
        <w:t>15. 结论</w:t>
      </w:r>
    </w:p>
    <w:p>
      <w:r>
        <w:rPr>
          <w:rFonts w:ascii="Arial Unicode MS" w:hAnsi="Arial Unicode MS" w:eastAsia="Arial Unicode MS"/>
        </w:rPr>
        <w:t>这套机制的核心不是堆叠加成，而是建立可解释的因果链：</w:t>
      </w:r>
    </w:p>
    <w:p>
      <w:r>
        <w:rPr>
          <w:rFonts w:ascii="Arial Unicode MS" w:hAnsi="Arial Unicode MS" w:eastAsia="Arial Unicode MS"/>
          <w:color w:val="0B2545"/>
          <w:sz w:val="19"/>
        </w:rPr>
        <w:t>读到信息 → 做出选择 → 改变正式输入 → Runtime 产生结果 → 统计记录 → 复盘解释 → 下一场改进</w:t>
      </w:r>
    </w:p>
    <w:p>
      <w:r>
        <w:rPr>
          <w:rFonts w:ascii="Arial Unicode MS" w:hAnsi="Arial Unicode MS" w:eastAsia="Arial Unicode MS"/>
        </w:rPr>
        <w:t>玩家能赢，不是因为系统替他选择；玩家会输，也能从阵容、体力、战术、纪律或决策中找到原因。这种“可选择、可验证、可复盘”的设计，才是《剑指美加墨》完整度的真正来源。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color w:val="667085"/>
        <w:sz w:val="17"/>
      </w:rPr>
      <w:t xml:space="preserve">剑指美加墨  ·  2026-07-26  ·  </w:t>
    </w:r>
    <w:r>
      <w:rPr>
        <w:rFonts w:ascii="Arial Unicode MS" w:hAnsi="Arial Unicode MS" w:eastAsia="Arial Unicode MS"/>
        <w:color w:val="667085"/>
        <w:sz w:val="18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 Unicode MS" w:hAnsi="Arial Unicode MS" w:eastAsia="Arial Unicode MS"/>
        <w:b/>
        <w:color w:val="667085"/>
        <w:sz w:val="17"/>
      </w:rPr>
      <w:t>《剑指美加墨》机制算法与胜率证据（评委版）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  <w:jc w:val="left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Arial Unicode MS" w:hAnsi="Arial Unicode MS" w:eastAsia="Arial Unicode M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Arial Unicode MS" w:hAnsi="Arial Unicode MS" w:eastAsia="Arial Unicode M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80" w:after="120" w:line="276" w:lineRule="auto"/>
      <w:ind w:left="259" w:right="259"/>
    </w:pPr>
    <w:rPr>
      <w:rFonts w:ascii="Arial Unicode MS" w:hAnsi="Arial Unicode MS" w:eastAsia="Arial Unicode M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《剑指美加墨》机制算法与胜率证据（评委版）</dc:title>
  <dc:subject>剑指美加墨 2026-07-26 评委材料</dc:subject>
  <dc:creator>剑指美加墨项目组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