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b/>
          <w:color w:val="2E74B5"/>
          <w:sz w:val="20"/>
        </w:rPr>
        <w:t>TECHNICAL PROJECT GUIDE</w:t>
      </w:r>
    </w:p>
    <w:p>
      <w:pPr>
        <w:spacing w:after="200"/>
        <w:jc w:val="center"/>
      </w:pPr>
      <w:r>
        <w:rPr>
          <w:b/>
          <w:color w:val="0B2545"/>
          <w:sz w:val="58"/>
        </w:rPr>
        <w:t>OCP Command Center</w:t>
      </w:r>
    </w:p>
    <w:p>
      <w:pPr>
        <w:spacing w:after="760"/>
        <w:jc w:val="center"/>
      </w:pPr>
      <w:r>
        <w:rPr>
          <w:color w:val="1F4D78"/>
          <w:sz w:val="28"/>
        </w:rPr>
        <w:t>AI-Powered OpenShift Monitoring, Incident Intelligence, Escalation, and Human-Approved Remediation</w:t>
      </w:r>
    </w:p>
    <w:tbl>
      <w:tblPr>
        <w:tblW w:type="auto" w:w="0"/>
        <w:jc w:val="center"/>
        <w:tblLayout w:type="fixed"/>
        <w:tblLook w:firstColumn="1" w:firstRow="1" w:lastColumn="0" w:lastRow="0" w:noHBand="0" w:noVBand="1" w:val="04A0"/>
      </w:tblPr>
      <w:tblGrid>
        <w:gridCol w:w="4680"/>
        <w:gridCol w:w="4680"/>
      </w:tblGrid>
      <w:tr>
        <w:tc>
          <w:tcPr>
            <w:tcW w:type="dxa" w:w="2400"/>
            <w:tcMar>
              <w:top w:w="70" w:type="dxa"/>
              <w:start w:w="100" w:type="dxa"/>
              <w:bottom w:w="70" w:type="dxa"/>
              <w:end w:w="100" w:type="dxa"/>
            </w:tcMar>
          </w:tcPr>
          <w:p>
            <w:pPr>
              <w:jc w:val="right"/>
            </w:pPr>
            <w:r>
              <w:rPr>
                <w:b/>
                <w:color w:val="5B6573"/>
                <w:sz w:val="19"/>
              </w:rPr>
              <w:t>Document purpose</w:t>
            </w:r>
          </w:p>
        </w:tc>
        <w:tc>
          <w:tcPr>
            <w:tcW w:type="dxa" w:w="5200"/>
            <w:tcMar>
              <w:top w:w="70" w:type="dxa"/>
              <w:start w:w="100" w:type="dxa"/>
              <w:bottom w:w="70" w:type="dxa"/>
              <w:end w:w="100" w:type="dxa"/>
            </w:tcMar>
          </w:tcPr>
          <w:p>
            <w:r>
              <w:rPr>
                <w:color w:val="1A1A1A"/>
                <w:sz w:val="19"/>
              </w:rPr>
              <w:t>End-to-end architecture, code, operations, security, testing, and deployment reference</w:t>
            </w:r>
          </w:p>
        </w:tc>
      </w:tr>
      <w:tr>
        <w:tc>
          <w:tcPr>
            <w:tcW w:type="dxa" w:w="2400"/>
            <w:tcMar>
              <w:top w:w="70" w:type="dxa"/>
              <w:start w:w="100" w:type="dxa"/>
              <w:bottom w:w="70" w:type="dxa"/>
              <w:end w:w="100" w:type="dxa"/>
            </w:tcMar>
          </w:tcPr>
          <w:p>
            <w:pPr>
              <w:jc w:val="right"/>
            </w:pPr>
            <w:r>
              <w:rPr>
                <w:b/>
                <w:color w:val="5B6573"/>
                <w:sz w:val="19"/>
              </w:rPr>
              <w:t>Project status</w:t>
            </w:r>
          </w:p>
        </w:tc>
        <w:tc>
          <w:tcPr>
            <w:tcW w:type="dxa" w:w="5200"/>
            <w:tcMar>
              <w:top w:w="70" w:type="dxa"/>
              <w:start w:w="100" w:type="dxa"/>
              <w:bottom w:w="70" w:type="dxa"/>
              <w:end w:w="100" w:type="dxa"/>
            </w:tcMar>
          </w:tcPr>
          <w:p>
            <w:r>
              <w:rPr>
                <w:color w:val="1A1A1A"/>
                <w:sz w:val="19"/>
              </w:rPr>
              <w:t>Feature-complete locally; production deployment prerequisites documented</w:t>
            </w:r>
          </w:p>
        </w:tc>
      </w:tr>
      <w:tr>
        <w:tc>
          <w:tcPr>
            <w:tcW w:type="dxa" w:w="2400"/>
            <w:tcMar>
              <w:top w:w="70" w:type="dxa"/>
              <w:start w:w="100" w:type="dxa"/>
              <w:bottom w:w="70" w:type="dxa"/>
              <w:end w:w="100" w:type="dxa"/>
            </w:tcMar>
          </w:tcPr>
          <w:p>
            <w:pPr>
              <w:jc w:val="right"/>
            </w:pPr>
            <w:r>
              <w:rPr>
                <w:b/>
                <w:color w:val="5B6573"/>
                <w:sz w:val="19"/>
              </w:rPr>
              <w:t>Prepared</w:t>
            </w:r>
          </w:p>
        </w:tc>
        <w:tc>
          <w:tcPr>
            <w:tcW w:type="dxa" w:w="5200"/>
            <w:tcMar>
              <w:top w:w="70" w:type="dxa"/>
              <w:start w:w="100" w:type="dxa"/>
              <w:bottom w:w="70" w:type="dxa"/>
              <w:end w:w="100" w:type="dxa"/>
            </w:tcMar>
          </w:tcPr>
          <w:p>
            <w:r>
              <w:rPr>
                <w:color w:val="1A1A1A"/>
                <w:sz w:val="19"/>
              </w:rPr>
              <w:t>2 September 2026</w:t>
            </w:r>
          </w:p>
        </w:tc>
      </w:tr>
      <w:tr>
        <w:tc>
          <w:tcPr>
            <w:tcW w:type="dxa" w:w="2400"/>
            <w:tcMar>
              <w:top w:w="70" w:type="dxa"/>
              <w:start w:w="100" w:type="dxa"/>
              <w:bottom w:w="70" w:type="dxa"/>
              <w:end w:w="100" w:type="dxa"/>
            </w:tcMar>
          </w:tcPr>
          <w:p>
            <w:pPr>
              <w:jc w:val="right"/>
            </w:pPr>
            <w:r>
              <w:rPr>
                <w:b/>
                <w:color w:val="5B6573"/>
                <w:sz w:val="19"/>
              </w:rPr>
              <w:t>Audience</w:t>
            </w:r>
          </w:p>
        </w:tc>
        <w:tc>
          <w:tcPr>
            <w:tcW w:type="dxa" w:w="5200"/>
            <w:tcMar>
              <w:top w:w="70" w:type="dxa"/>
              <w:start w:w="100" w:type="dxa"/>
              <w:bottom w:w="70" w:type="dxa"/>
              <w:end w:w="100" w:type="dxa"/>
            </w:tcMar>
          </w:tcPr>
          <w:p>
            <w:r>
              <w:rPr>
                <w:color w:val="1A1A1A"/>
                <w:sz w:val="19"/>
              </w:rPr>
              <w:t>Developers, DevOps/SRE engineers, reviewers, interviewers, and platform owners</w:t>
            </w:r>
          </w:p>
        </w:tc>
      </w:tr>
      <w:tr>
        <w:tc>
          <w:tcPr>
            <w:tcW w:type="dxa" w:w="2400"/>
            <w:tcMar>
              <w:top w:w="70" w:type="dxa"/>
              <w:start w:w="100" w:type="dxa"/>
              <w:bottom w:w="70" w:type="dxa"/>
              <w:end w:w="100" w:type="dxa"/>
            </w:tcMar>
          </w:tcPr>
          <w:p>
            <w:pPr>
              <w:jc w:val="right"/>
            </w:pPr>
            <w:r>
              <w:rPr>
                <w:b/>
                <w:color w:val="5B6573"/>
                <w:sz w:val="19"/>
              </w:rPr>
              <w:t>Confidentiality</w:t>
            </w:r>
          </w:p>
        </w:tc>
        <w:tc>
          <w:tcPr>
            <w:tcW w:type="dxa" w:w="5200"/>
            <w:tcMar>
              <w:top w:w="70" w:type="dxa"/>
              <w:start w:w="100" w:type="dxa"/>
              <w:bottom w:w="70" w:type="dxa"/>
              <w:end w:w="100" w:type="dxa"/>
            </w:tcMar>
          </w:tcPr>
          <w:p>
            <w:r>
              <w:rPr>
                <w:color w:val="1A1A1A"/>
                <w:sz w:val="19"/>
              </w:rPr>
              <w:t>Configuration names are included; credentials and secret values are intentionally excluded</w:t>
            </w:r>
          </w:p>
        </w:tc>
      </w:tr>
    </w:tbl>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4F8FC"/>
          </w:tcPr>
          <w:p>
            <w:pPr>
              <w:spacing w:after="60"/>
            </w:pPr>
            <w:r>
              <w:rPr>
                <w:b/>
                <w:color w:val="0B2545"/>
              </w:rPr>
              <w:t>How to use this guide</w:t>
            </w:r>
          </w:p>
          <w:p>
            <w:pPr>
              <w:spacing w:after="0" w:line="276" w:lineRule="auto"/>
            </w:pPr>
            <w:r>
              <w:t>Read Sections 1–4 to understand the system, Sections 5–11 for implementation details, Sections 12–16 for operation and deployment, and the appendices for file ownership, configuration, and interview-ready explanations.</w:t>
            </w:r>
          </w:p>
        </w:tc>
      </w:tr>
    </w:tbl>
    <w:p>
      <w:pPr>
        <w:spacing w:after="0"/>
      </w:pPr>
    </w:p>
    <w:p>
      <w:r>
        <w:br w:type="page"/>
      </w:r>
    </w:p>
    <w:p>
      <w:pPr>
        <w:pStyle w:val="Heading1"/>
      </w:pPr>
      <w:r>
        <w:t>Contents</w:t>
      </w:r>
    </w:p>
    <w:p>
      <w:pPr>
        <w:numPr>
          <w:ilvl w:val="0"/>
          <w:numId w:val="10"/>
        </w:numPr>
        <w:spacing w:after="80" w:line="300" w:lineRule="auto"/>
      </w:pPr>
      <w:r>
        <w:t>1. Executive overview</w:t>
      </w:r>
    </w:p>
    <w:p>
      <w:pPr>
        <w:numPr>
          <w:ilvl w:val="0"/>
          <w:numId w:val="10"/>
        </w:numPr>
        <w:spacing w:after="80" w:line="300" w:lineRule="auto"/>
      </w:pPr>
      <w:r>
        <w:t>2. Problem statement and objectives</w:t>
      </w:r>
    </w:p>
    <w:p>
      <w:pPr>
        <w:numPr>
          <w:ilvl w:val="0"/>
          <w:numId w:val="10"/>
        </w:numPr>
        <w:spacing w:after="80" w:line="300" w:lineRule="auto"/>
      </w:pPr>
      <w:r>
        <w:t>3. OpenShift fundamentals used by the project</w:t>
      </w:r>
    </w:p>
    <w:p>
      <w:pPr>
        <w:numPr>
          <w:ilvl w:val="0"/>
          <w:numId w:val="10"/>
        </w:numPr>
        <w:spacing w:after="80" w:line="300" w:lineRule="auto"/>
      </w:pPr>
      <w:r>
        <w:t>4. System architecture</w:t>
      </w:r>
    </w:p>
    <w:p>
      <w:pPr>
        <w:numPr>
          <w:ilvl w:val="0"/>
          <w:numId w:val="10"/>
        </w:numPr>
        <w:spacing w:after="80" w:line="300" w:lineRule="auto"/>
      </w:pPr>
      <w:r>
        <w:t>5. End-to-end runtime flow</w:t>
      </w:r>
    </w:p>
    <w:p>
      <w:pPr>
        <w:numPr>
          <w:ilvl w:val="0"/>
          <w:numId w:val="10"/>
        </w:numPr>
        <w:spacing w:after="80" w:line="300" w:lineRule="auto"/>
      </w:pPr>
      <w:r>
        <w:t>6. LangGraph agent design</w:t>
      </w:r>
    </w:p>
    <w:p>
      <w:pPr>
        <w:numPr>
          <w:ilvl w:val="0"/>
          <w:numId w:val="10"/>
        </w:numPr>
        <w:spacing w:after="80" w:line="300" w:lineRule="auto"/>
      </w:pPr>
      <w:r>
        <w:t>7. OpenShift data collection</w:t>
      </w:r>
    </w:p>
    <w:p>
      <w:pPr>
        <w:numPr>
          <w:ilvl w:val="0"/>
          <w:numId w:val="10"/>
        </w:numPr>
        <w:spacing w:after="80" w:line="300" w:lineRule="auto"/>
      </w:pPr>
      <w:r>
        <w:t>8. AI analysis and RAG</w:t>
      </w:r>
    </w:p>
    <w:p>
      <w:pPr>
        <w:numPr>
          <w:ilvl w:val="0"/>
          <w:numId w:val="10"/>
        </w:numPr>
        <w:spacing w:after="80" w:line="300" w:lineRule="auto"/>
      </w:pPr>
      <w:r>
        <w:t>9. Persistence and PostgreSQL</w:t>
      </w:r>
    </w:p>
    <w:p>
      <w:pPr>
        <w:numPr>
          <w:ilvl w:val="0"/>
          <w:numId w:val="10"/>
        </w:numPr>
        <w:spacing w:after="80" w:line="300" w:lineRule="auto"/>
      </w:pPr>
      <w:r>
        <w:t>10. Reporting, email, and calendar escalation</w:t>
      </w:r>
    </w:p>
    <w:p>
      <w:pPr>
        <w:numPr>
          <w:ilvl w:val="0"/>
          <w:numId w:val="10"/>
        </w:numPr>
        <w:spacing w:after="80" w:line="300" w:lineRule="auto"/>
      </w:pPr>
      <w:r>
        <w:t>11. Human-in-the-loop remediation approval</w:t>
      </w:r>
    </w:p>
    <w:p>
      <w:pPr>
        <w:numPr>
          <w:ilvl w:val="0"/>
          <w:numId w:val="10"/>
        </w:numPr>
        <w:spacing w:after="80" w:line="300" w:lineRule="auto"/>
      </w:pPr>
      <w:r>
        <w:t>12. Dashboard and user experience</w:t>
      </w:r>
    </w:p>
    <w:p>
      <w:pPr>
        <w:numPr>
          <w:ilvl w:val="0"/>
          <w:numId w:val="10"/>
        </w:numPr>
        <w:spacing w:after="80" w:line="300" w:lineRule="auto"/>
      </w:pPr>
      <w:r>
        <w:t>13. Scheduling, health, and observability</w:t>
      </w:r>
    </w:p>
    <w:p>
      <w:pPr>
        <w:numPr>
          <w:ilvl w:val="0"/>
          <w:numId w:val="10"/>
        </w:numPr>
        <w:spacing w:after="80" w:line="300" w:lineRule="auto"/>
      </w:pPr>
      <w:r>
        <w:t>14. Containers and local execution</w:t>
      </w:r>
    </w:p>
    <w:p>
      <w:pPr>
        <w:numPr>
          <w:ilvl w:val="0"/>
          <w:numId w:val="10"/>
        </w:numPr>
        <w:spacing w:after="80" w:line="300" w:lineRule="auto"/>
      </w:pPr>
      <w:r>
        <w:t>15. OpenShift deployment design</w:t>
      </w:r>
    </w:p>
    <w:p>
      <w:pPr>
        <w:numPr>
          <w:ilvl w:val="0"/>
          <w:numId w:val="10"/>
        </w:numPr>
        <w:spacing w:after="80" w:line="300" w:lineRule="auto"/>
      </w:pPr>
      <w:r>
        <w:t>16. Security and safety controls</w:t>
      </w:r>
    </w:p>
    <w:p>
      <w:pPr>
        <w:numPr>
          <w:ilvl w:val="0"/>
          <w:numId w:val="10"/>
        </w:numPr>
        <w:spacing w:after="80" w:line="300" w:lineRule="auto"/>
      </w:pPr>
      <w:r>
        <w:t>17. Testing and validation status</w:t>
      </w:r>
    </w:p>
    <w:p>
      <w:pPr>
        <w:numPr>
          <w:ilvl w:val="0"/>
          <w:numId w:val="10"/>
        </w:numPr>
        <w:spacing w:after="80" w:line="300" w:lineRule="auto"/>
      </w:pPr>
      <w:r>
        <w:t>18. Operations runbook</w:t>
      </w:r>
    </w:p>
    <w:p>
      <w:pPr>
        <w:numPr>
          <w:ilvl w:val="0"/>
          <w:numId w:val="10"/>
        </w:numPr>
        <w:spacing w:after="80" w:line="300" w:lineRule="auto"/>
      </w:pPr>
      <w:r>
        <w:t>19. Known gaps and production readiness</w:t>
      </w:r>
    </w:p>
    <w:p>
      <w:pPr>
        <w:numPr>
          <w:ilvl w:val="0"/>
          <w:numId w:val="10"/>
        </w:numPr>
        <w:spacing w:after="80" w:line="300" w:lineRule="auto"/>
      </w:pPr>
      <w:r>
        <w:t>20. Codebase reference</w:t>
      </w:r>
    </w:p>
    <w:p>
      <w:pPr>
        <w:numPr>
          <w:ilvl w:val="0"/>
          <w:numId w:val="10"/>
        </w:numPr>
        <w:spacing w:after="80" w:line="300" w:lineRule="auto"/>
      </w:pPr>
      <w:r>
        <w:t>Appendix A. Configuration map</w:t>
      </w:r>
    </w:p>
    <w:p>
      <w:pPr>
        <w:numPr>
          <w:ilvl w:val="0"/>
          <w:numId w:val="10"/>
        </w:numPr>
        <w:spacing w:after="80" w:line="300" w:lineRule="auto"/>
      </w:pPr>
      <w:r>
        <w:t>Appendix B. Glossary and interview narrative</w:t>
      </w:r>
    </w:p>
    <w:p>
      <w:pPr>
        <w:pStyle w:val="Heading2"/>
      </w:pPr>
      <w:r>
        <w:t>Document conventions</w:t>
      </w:r>
    </w:p>
    <w:p>
      <w:pPr>
        <w:numPr>
          <w:ilvl w:val="0"/>
          <w:numId w:val="10"/>
        </w:numPr>
        <w:spacing w:after="80" w:line="300" w:lineRule="auto"/>
      </w:pPr>
      <w:r>
        <w:rPr>
          <w:b/>
          <w:color w:val="216E39"/>
        </w:rPr>
        <w:t>Implemented</w:t>
      </w:r>
      <w:r>
        <w:t xml:space="preserve"> means the behavior exists in the current codebase.</w:t>
      </w:r>
    </w:p>
    <w:p>
      <w:pPr>
        <w:numPr>
          <w:ilvl w:val="0"/>
          <w:numId w:val="10"/>
        </w:numPr>
        <w:spacing w:after="80" w:line="300" w:lineRule="auto"/>
      </w:pPr>
      <w:r>
        <w:rPr>
          <w:b/>
          <w:color w:val="2E74B5"/>
        </w:rPr>
        <w:t>Validated</w:t>
      </w:r>
      <w:r>
        <w:t xml:space="preserve"> means it was exercised in the local environment against the configured OpenShift cluster or integration.</w:t>
      </w:r>
    </w:p>
    <w:p>
      <w:pPr>
        <w:numPr>
          <w:ilvl w:val="0"/>
          <w:numId w:val="10"/>
        </w:numPr>
        <w:spacing w:after="80" w:line="300" w:lineRule="auto"/>
      </w:pPr>
      <w:r>
        <w:rPr>
          <w:b/>
          <w:color w:val="9A6A00"/>
        </w:rPr>
        <w:t>Production prerequisite</w:t>
      </w:r>
      <w:r>
        <w:t xml:space="preserve"> means the code or manifest exists but an environment-specific value, service, image, or permission is still required.</w:t>
      </w:r>
    </w:p>
    <w:p>
      <w:pPr>
        <w:pStyle w:val="Heading1"/>
      </w:pPr>
      <w:r>
        <w:t>1. Executive overview</w:t>
      </w:r>
    </w:p>
    <w:p>
      <w:r>
        <w:t>OCP Command Center is an AI-assisted operations platform for Red Hat OpenShift. It periodically collects cluster health signals, evaluates them with deterministic rules and a large language model, searches past incidents for known fixes, persists complete evidence in PostgreSQL, sends an HTML health report, creates Google Calendar/Meet escalations for qualifying critical incidents, and proposes tightly controlled remediation through a human approval gate.</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EAF5EE"/>
          </w:tcPr>
          <w:p>
            <w:pPr>
              <w:spacing w:after="60"/>
            </w:pPr>
            <w:r>
              <w:rPr>
                <w:b/>
                <w:color w:val="216E39"/>
              </w:rPr>
              <w:t>Core design principle</w:t>
            </w:r>
          </w:p>
          <w:p>
            <w:pPr>
              <w:spacing w:after="0" w:line="276" w:lineRule="auto"/>
            </w:pPr>
            <w:r>
              <w:t>Detection, recommendation, approval, and execution are separate stages. The AI can analyze and propose; a human must approve a permitted action before any live cluster change is attempted.</w:t>
            </w:r>
          </w:p>
        </w:tc>
      </w:tr>
    </w:tbl>
    <w:p>
      <w:pPr>
        <w:spacing w:after="0"/>
      </w:pPr>
    </w:p>
    <w:tbl>
      <w:tblPr>
        <w:tblW w:type="dxa" w:w="9360"/>
        <w:jc w:val="center"/>
        <w:tblLayout w:type="fixed"/>
        <w:tblLook w:firstColumn="1" w:firstRow="1" w:lastColumn="0" w:lastRow="0" w:noHBand="0" w:noVBand="1" w:val="04A0"/>
        <w:tblInd w:w="120" w:type="dxa"/>
        <w:tblLayout w:type="fixed"/>
      </w:tblPr>
      <w:tblGrid>
        <w:gridCol w:w="1800"/>
        <w:gridCol w:w="3900"/>
        <w:gridCol w:w="3660"/>
      </w:tblGrid>
      <w:tr>
        <w:trPr>
          <w:tblHeader w:val="true"/>
          <w:cantSplit/>
        </w:trPr>
        <w:tc>
          <w:tcPr>
            <w:tcW w:type="dxa" w:w="1800"/>
            <w:tcMar>
              <w:top w:w="80" w:type="dxa"/>
              <w:start w:w="120" w:type="dxa"/>
              <w:bottom w:w="80" w:type="dxa"/>
              <w:end w:w="120" w:type="dxa"/>
            </w:tcMar>
            <w:shd w:fill="E8EEF5"/>
            <w:vAlign w:val="center"/>
          </w:tcPr>
          <w:p>
            <w:pPr>
              <w:spacing w:after="0"/>
            </w:pPr>
            <w:r>
              <w:rPr>
                <w:b/>
                <w:color w:val="0B2545"/>
                <w:sz w:val="18"/>
              </w:rPr>
              <w:t>Capability</w:t>
            </w:r>
          </w:p>
        </w:tc>
        <w:tc>
          <w:tcPr>
            <w:tcW w:type="dxa" w:w="3900"/>
            <w:tcMar>
              <w:top w:w="80" w:type="dxa"/>
              <w:start w:w="120" w:type="dxa"/>
              <w:bottom w:w="80" w:type="dxa"/>
              <w:end w:w="120" w:type="dxa"/>
            </w:tcMar>
            <w:shd w:fill="E8EEF5"/>
            <w:vAlign w:val="center"/>
          </w:tcPr>
          <w:p>
            <w:pPr>
              <w:spacing w:after="0"/>
            </w:pPr>
            <w:r>
              <w:rPr>
                <w:b/>
                <w:color w:val="0B2545"/>
                <w:sz w:val="18"/>
              </w:rPr>
              <w:t>Implementation</w:t>
            </w:r>
          </w:p>
        </w:tc>
        <w:tc>
          <w:tcPr>
            <w:tcW w:type="dxa" w:w="3660"/>
            <w:tcMar>
              <w:top w:w="80" w:type="dxa"/>
              <w:start w:w="120" w:type="dxa"/>
              <w:bottom w:w="80" w:type="dxa"/>
              <w:end w:w="120" w:type="dxa"/>
            </w:tcMar>
            <w:shd w:fill="E8EEF5"/>
            <w:vAlign w:val="center"/>
          </w:tcPr>
          <w:p>
            <w:pPr>
              <w:spacing w:after="0"/>
            </w:pPr>
            <w:r>
              <w:rPr>
                <w:b/>
                <w:color w:val="0B2545"/>
                <w:sz w:val="18"/>
              </w:rPr>
              <w:t>Outcome</w:t>
            </w:r>
          </w:p>
        </w:tc>
      </w:tr>
      <w:tr>
        <w:trPr>
          <w:cantSplit/>
        </w:trPr>
        <w:tc>
          <w:tcPr>
            <w:tcW w:type="dxa" w:w="1800"/>
            <w:tcMar>
              <w:top w:w="80" w:type="dxa"/>
              <w:start w:w="120" w:type="dxa"/>
              <w:bottom w:w="80" w:type="dxa"/>
              <w:end w:w="120" w:type="dxa"/>
            </w:tcMar>
            <w:vAlign w:val="top"/>
          </w:tcPr>
          <w:p>
            <w:pPr>
              <w:spacing w:after="0" w:line="264" w:lineRule="auto"/>
            </w:pPr>
            <w:r>
              <w:rPr>
                <w:sz w:val="18"/>
              </w:rPr>
              <w:t>Cluster monitoring</w:t>
            </w:r>
          </w:p>
        </w:tc>
        <w:tc>
          <w:tcPr>
            <w:tcW w:type="dxa" w:w="3900"/>
            <w:tcMar>
              <w:top w:w="80" w:type="dxa"/>
              <w:start w:w="120" w:type="dxa"/>
              <w:bottom w:w="80" w:type="dxa"/>
              <w:end w:w="120" w:type="dxa"/>
            </w:tcMar>
            <w:vAlign w:val="top"/>
          </w:tcPr>
          <w:p>
            <w:pPr>
              <w:spacing w:after="0" w:line="264" w:lineRule="auto"/>
            </w:pPr>
            <w:r>
              <w:rPr>
                <w:sz w:val="18"/>
              </w:rPr>
              <w:t>Eight parallel Kubernetes/OpenShift collectors</w:t>
            </w:r>
          </w:p>
        </w:tc>
        <w:tc>
          <w:tcPr>
            <w:tcW w:type="dxa" w:w="3660"/>
            <w:tcMar>
              <w:top w:w="80" w:type="dxa"/>
              <w:start w:w="120" w:type="dxa"/>
              <w:bottom w:w="80" w:type="dxa"/>
              <w:end w:w="120" w:type="dxa"/>
            </w:tcMar>
            <w:vAlign w:val="top"/>
          </w:tcPr>
          <w:p>
            <w:pPr>
              <w:spacing w:after="0" w:line="264" w:lineRule="auto"/>
            </w:pPr>
            <w:r>
              <w:rPr>
                <w:sz w:val="18"/>
              </w:rPr>
              <w:t>One normalized snapshot per scheduled run</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Incident intelligence</w:t>
            </w:r>
          </w:p>
        </w:tc>
        <w:tc>
          <w:tcPr>
            <w:tcW w:type="dxa" w:w="3900"/>
            <w:tcMar>
              <w:top w:w="80" w:type="dxa"/>
              <w:start w:w="120" w:type="dxa"/>
              <w:bottom w:w="80" w:type="dxa"/>
              <w:end w:w="120" w:type="dxa"/>
            </w:tcMar>
            <w:vAlign w:val="top"/>
            <w:shd w:fill="FAFBFC"/>
          </w:tcPr>
          <w:p>
            <w:pPr>
              <w:spacing w:after="0" w:line="264" w:lineRule="auto"/>
            </w:pPr>
            <w:r>
              <w:rPr>
                <w:sz w:val="18"/>
              </w:rPr>
              <w:t>LangGraph + Groq structured output</w:t>
            </w:r>
          </w:p>
        </w:tc>
        <w:tc>
          <w:tcPr>
            <w:tcW w:type="dxa" w:w="3660"/>
            <w:tcMar>
              <w:top w:w="80" w:type="dxa"/>
              <w:start w:w="120" w:type="dxa"/>
              <w:bottom w:w="80" w:type="dxa"/>
              <w:end w:w="120" w:type="dxa"/>
            </w:tcMar>
            <w:vAlign w:val="top"/>
            <w:shd w:fill="FAFBFC"/>
          </w:tcPr>
          <w:p>
            <w:pPr>
              <w:spacing w:after="0" w:line="264" w:lineRule="auto"/>
            </w:pPr>
            <w:r>
              <w:rPr>
                <w:sz w:val="18"/>
              </w:rPr>
              <w:t>Severity, summary, root cause, and remediation guidance</w:t>
            </w:r>
          </w:p>
        </w:tc>
      </w:tr>
      <w:tr>
        <w:trPr>
          <w:cantSplit/>
        </w:trPr>
        <w:tc>
          <w:tcPr>
            <w:tcW w:type="dxa" w:w="1800"/>
            <w:tcMar>
              <w:top w:w="80" w:type="dxa"/>
              <w:start w:w="120" w:type="dxa"/>
              <w:bottom w:w="80" w:type="dxa"/>
              <w:end w:w="120" w:type="dxa"/>
            </w:tcMar>
            <w:vAlign w:val="top"/>
          </w:tcPr>
          <w:p>
            <w:pPr>
              <w:spacing w:after="0" w:line="264" w:lineRule="auto"/>
            </w:pPr>
            <w:r>
              <w:rPr>
                <w:sz w:val="18"/>
              </w:rPr>
              <w:t>Knowledge reuse</w:t>
            </w:r>
          </w:p>
        </w:tc>
        <w:tc>
          <w:tcPr>
            <w:tcW w:type="dxa" w:w="3900"/>
            <w:tcMar>
              <w:top w:w="80" w:type="dxa"/>
              <w:start w:w="120" w:type="dxa"/>
              <w:bottom w:w="80" w:type="dxa"/>
              <w:end w:w="120" w:type="dxa"/>
            </w:tcMar>
            <w:vAlign w:val="top"/>
          </w:tcPr>
          <w:p>
            <w:pPr>
              <w:spacing w:after="0" w:line="264" w:lineRule="auto"/>
            </w:pPr>
            <w:r>
              <w:rPr>
                <w:sz w:val="18"/>
              </w:rPr>
              <w:t>LlamaIndex + HuggingFace embeddings + pgvector</w:t>
            </w:r>
          </w:p>
        </w:tc>
        <w:tc>
          <w:tcPr>
            <w:tcW w:type="dxa" w:w="3660"/>
            <w:tcMar>
              <w:top w:w="80" w:type="dxa"/>
              <w:start w:w="120" w:type="dxa"/>
              <w:bottom w:w="80" w:type="dxa"/>
              <w:end w:w="120" w:type="dxa"/>
            </w:tcMar>
            <w:vAlign w:val="top"/>
          </w:tcPr>
          <w:p>
            <w:pPr>
              <w:spacing w:after="0" w:line="264" w:lineRule="auto"/>
            </w:pPr>
            <w:r>
              <w:rPr>
                <w:sz w:val="18"/>
              </w:rPr>
              <w:t>Reuse sufficiently similar resolved incidents</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Persistence</w:t>
            </w:r>
          </w:p>
        </w:tc>
        <w:tc>
          <w:tcPr>
            <w:tcW w:type="dxa" w:w="3900"/>
            <w:tcMar>
              <w:top w:w="80" w:type="dxa"/>
              <w:start w:w="120" w:type="dxa"/>
              <w:bottom w:w="80" w:type="dxa"/>
              <w:end w:w="120" w:type="dxa"/>
            </w:tcMar>
            <w:vAlign w:val="top"/>
            <w:shd w:fill="FAFBFC"/>
          </w:tcPr>
          <w:p>
            <w:pPr>
              <w:spacing w:after="0" w:line="264" w:lineRule="auto"/>
            </w:pPr>
            <w:r>
              <w:rPr>
                <w:sz w:val="18"/>
              </w:rPr>
              <w:t>SQLAlchemy + PostgreSQL JSONB and relational models</w:t>
            </w:r>
          </w:p>
        </w:tc>
        <w:tc>
          <w:tcPr>
            <w:tcW w:type="dxa" w:w="3660"/>
            <w:tcMar>
              <w:top w:w="80" w:type="dxa"/>
              <w:start w:w="120" w:type="dxa"/>
              <w:bottom w:w="80" w:type="dxa"/>
              <w:end w:w="120" w:type="dxa"/>
            </w:tcMar>
            <w:vAlign w:val="top"/>
            <w:shd w:fill="FAFBFC"/>
          </w:tcPr>
          <w:p>
            <w:pPr>
              <w:spacing w:after="0" w:line="264" w:lineRule="auto"/>
            </w:pPr>
            <w:r>
              <w:rPr>
                <w:sz w:val="18"/>
              </w:rPr>
              <w:t>Audit-ready history of runs, failures, resolutions, and approvals</w:t>
            </w:r>
          </w:p>
        </w:tc>
      </w:tr>
      <w:tr>
        <w:trPr>
          <w:cantSplit/>
        </w:trPr>
        <w:tc>
          <w:tcPr>
            <w:tcW w:type="dxa" w:w="1800"/>
            <w:tcMar>
              <w:top w:w="80" w:type="dxa"/>
              <w:start w:w="120" w:type="dxa"/>
              <w:bottom w:w="80" w:type="dxa"/>
              <w:end w:w="120" w:type="dxa"/>
            </w:tcMar>
            <w:vAlign w:val="top"/>
          </w:tcPr>
          <w:p>
            <w:pPr>
              <w:spacing w:after="0" w:line="264" w:lineRule="auto"/>
            </w:pPr>
            <w:r>
              <w:rPr>
                <w:sz w:val="18"/>
              </w:rPr>
              <w:t>Notifications</w:t>
            </w:r>
          </w:p>
        </w:tc>
        <w:tc>
          <w:tcPr>
            <w:tcW w:type="dxa" w:w="3900"/>
            <w:tcMar>
              <w:top w:w="80" w:type="dxa"/>
              <w:start w:w="120" w:type="dxa"/>
              <w:bottom w:w="80" w:type="dxa"/>
              <w:end w:w="120" w:type="dxa"/>
            </w:tcMar>
            <w:vAlign w:val="top"/>
          </w:tcPr>
          <w:p>
            <w:pPr>
              <w:spacing w:after="0" w:line="264" w:lineRule="auto"/>
            </w:pPr>
            <w:r>
              <w:rPr>
                <w:sz w:val="18"/>
              </w:rPr>
              <w:t>SMTP or SendGrid HTML email</w:t>
            </w:r>
          </w:p>
        </w:tc>
        <w:tc>
          <w:tcPr>
            <w:tcW w:type="dxa" w:w="3660"/>
            <w:tcMar>
              <w:top w:w="80" w:type="dxa"/>
              <w:start w:w="120" w:type="dxa"/>
              <w:bottom w:w="80" w:type="dxa"/>
              <w:end w:w="120" w:type="dxa"/>
            </w:tcMar>
            <w:vAlign w:val="top"/>
          </w:tcPr>
          <w:p>
            <w:pPr>
              <w:spacing w:after="0" w:line="264" w:lineRule="auto"/>
            </w:pPr>
            <w:r>
              <w:rPr>
                <w:sz w:val="18"/>
              </w:rPr>
              <w:t>Readable operational report delivered to configured recipients</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Escalation</w:t>
            </w:r>
          </w:p>
        </w:tc>
        <w:tc>
          <w:tcPr>
            <w:tcW w:type="dxa" w:w="3900"/>
            <w:tcMar>
              <w:top w:w="80" w:type="dxa"/>
              <w:start w:w="120" w:type="dxa"/>
              <w:bottom w:w="80" w:type="dxa"/>
              <w:end w:w="120" w:type="dxa"/>
            </w:tcMar>
            <w:vAlign w:val="top"/>
            <w:shd w:fill="FAFBFC"/>
          </w:tcPr>
          <w:p>
            <w:pPr>
              <w:spacing w:after="0" w:line="264" w:lineRule="auto"/>
            </w:pPr>
            <w:r>
              <w:rPr>
                <w:sz w:val="18"/>
              </w:rPr>
              <w:t>Google Calendar API with Meet conference data</w:t>
            </w:r>
          </w:p>
        </w:tc>
        <w:tc>
          <w:tcPr>
            <w:tcW w:type="dxa" w:w="3660"/>
            <w:tcMar>
              <w:top w:w="80" w:type="dxa"/>
              <w:start w:w="120" w:type="dxa"/>
              <w:bottom w:w="80" w:type="dxa"/>
              <w:end w:w="120" w:type="dxa"/>
            </w:tcMar>
            <w:vAlign w:val="top"/>
            <w:shd w:fill="FAFBFC"/>
          </w:tcPr>
          <w:p>
            <w:pPr>
              <w:spacing w:after="0" w:line="264" w:lineRule="auto"/>
            </w:pPr>
            <w:r>
              <w:rPr>
                <w:sz w:val="18"/>
              </w:rPr>
              <w:t>Meeting event for persistent, in-scope critical incidents</w:t>
            </w:r>
          </w:p>
        </w:tc>
      </w:tr>
      <w:tr>
        <w:trPr>
          <w:cantSplit/>
        </w:trPr>
        <w:tc>
          <w:tcPr>
            <w:tcW w:type="dxa" w:w="1800"/>
            <w:tcMar>
              <w:top w:w="80" w:type="dxa"/>
              <w:start w:w="120" w:type="dxa"/>
              <w:bottom w:w="80" w:type="dxa"/>
              <w:end w:w="120" w:type="dxa"/>
            </w:tcMar>
            <w:vAlign w:val="top"/>
          </w:tcPr>
          <w:p>
            <w:pPr>
              <w:spacing w:after="0" w:line="264" w:lineRule="auto"/>
            </w:pPr>
            <w:r>
              <w:rPr>
                <w:sz w:val="18"/>
              </w:rPr>
              <w:t>Remediation</w:t>
            </w:r>
          </w:p>
        </w:tc>
        <w:tc>
          <w:tcPr>
            <w:tcW w:type="dxa" w:w="3900"/>
            <w:tcMar>
              <w:top w:w="80" w:type="dxa"/>
              <w:start w:w="120" w:type="dxa"/>
              <w:bottom w:w="80" w:type="dxa"/>
              <w:end w:w="120" w:type="dxa"/>
            </w:tcMar>
            <w:vAlign w:val="top"/>
          </w:tcPr>
          <w:p>
            <w:pPr>
              <w:spacing w:after="0" w:line="264" w:lineRule="auto"/>
            </w:pPr>
            <w:r>
              <w:rPr>
                <w:sz w:val="18"/>
              </w:rPr>
              <w:t>HITL approval + allowlists + dry-run/live gates</w:t>
            </w:r>
          </w:p>
        </w:tc>
        <w:tc>
          <w:tcPr>
            <w:tcW w:type="dxa" w:w="3660"/>
            <w:tcMar>
              <w:top w:w="80" w:type="dxa"/>
              <w:start w:w="120" w:type="dxa"/>
              <w:bottom w:w="80" w:type="dxa"/>
              <w:end w:w="120" w:type="dxa"/>
            </w:tcMar>
            <w:vAlign w:val="top"/>
          </w:tcPr>
          <w:p>
            <w:pPr>
              <w:spacing w:after="0" w:line="264" w:lineRule="auto"/>
            </w:pPr>
            <w:r>
              <w:rPr>
                <w:sz w:val="18"/>
              </w:rPr>
              <w:t>Controlled rollout restart with pre/post state and audit trail</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Operations UI</w:t>
            </w:r>
          </w:p>
        </w:tc>
        <w:tc>
          <w:tcPr>
            <w:tcW w:type="dxa" w:w="3900"/>
            <w:tcMar>
              <w:top w:w="80" w:type="dxa"/>
              <w:start w:w="120" w:type="dxa"/>
              <w:bottom w:w="80" w:type="dxa"/>
              <w:end w:w="120" w:type="dxa"/>
            </w:tcMar>
            <w:vAlign w:val="top"/>
            <w:shd w:fill="FAFBFC"/>
          </w:tcPr>
          <w:p>
            <w:pPr>
              <w:spacing w:after="0" w:line="264" w:lineRule="auto"/>
            </w:pPr>
            <w:r>
              <w:rPr>
                <w:sz w:val="18"/>
              </w:rPr>
              <w:t>Streamlit command center</w:t>
            </w:r>
          </w:p>
        </w:tc>
        <w:tc>
          <w:tcPr>
            <w:tcW w:type="dxa" w:w="3660"/>
            <w:tcMar>
              <w:top w:w="80" w:type="dxa"/>
              <w:start w:w="120" w:type="dxa"/>
              <w:bottom w:w="80" w:type="dxa"/>
              <w:end w:w="120" w:type="dxa"/>
            </w:tcMar>
            <w:vAlign w:val="top"/>
            <w:shd w:fill="FAFBFC"/>
          </w:tcPr>
          <w:p>
            <w:pPr>
              <w:spacing w:after="0" w:line="264" w:lineRule="auto"/>
            </w:pPr>
            <w:r>
              <w:rPr>
                <w:sz w:val="18"/>
              </w:rPr>
              <w:t>Overview, inventory, incidents, run exploration, and approvals</w:t>
            </w:r>
          </w:p>
        </w:tc>
      </w:tr>
    </w:tbl>
    <w:p>
      <w:pPr>
        <w:spacing w:after="0"/>
      </w:pPr>
    </w:p>
    <w:p>
      <w:pPr>
        <w:pStyle w:val="Heading2"/>
      </w:pPr>
      <w:r>
        <w:t>Current verified state</w:t>
      </w:r>
    </w:p>
    <w:p>
      <w:pPr>
        <w:numPr>
          <w:ilvl w:val="0"/>
          <w:numId w:val="10"/>
        </w:numPr>
        <w:spacing w:after="80" w:line="300" w:lineRule="auto"/>
      </w:pPr>
      <w:r>
        <w:t>The Docker Compose services were healthy and scheduled cycles completed against the configured OpenShift cluster.</w:t>
      </w:r>
    </w:p>
    <w:p>
      <w:pPr>
        <w:numPr>
          <w:ilvl w:val="0"/>
          <w:numId w:val="10"/>
        </w:numPr>
        <w:spacing w:after="80" w:line="300" w:lineRule="auto"/>
      </w:pPr>
      <w:r>
        <w:t>Database persistence, HTML email delivery, Google Calendar event creation/readback, event summary, description, attendees, and Google Meet link generation were verified.</w:t>
      </w:r>
    </w:p>
    <w:p>
      <w:pPr>
        <w:numPr>
          <w:ilvl w:val="0"/>
          <w:numId w:val="10"/>
        </w:numPr>
        <w:spacing w:after="80" w:line="300" w:lineRule="auto"/>
      </w:pPr>
      <w:r>
        <w:t>The approval dashboard is exposed on host port 8502; the earlier duplicate service on that port was stopped. Container-internal Streamlit remains on 8501.</w:t>
      </w:r>
    </w:p>
    <w:p>
      <w:pPr>
        <w:numPr>
          <w:ilvl w:val="0"/>
          <w:numId w:val="10"/>
        </w:numPr>
        <w:spacing w:after="80" w:line="300" w:lineRule="auto"/>
      </w:pPr>
      <w:r>
        <w:t>The approval link uses a LAN-reachable dashboard URL instead of localhost, so an approver on the same LAN/VPN can open it.</w:t>
      </w:r>
    </w:p>
    <w:p>
      <w:pPr>
        <w:numPr>
          <w:ilvl w:val="0"/>
          <w:numId w:val="10"/>
        </w:numPr>
        <w:spacing w:after="80" w:line="300" w:lineRule="auto"/>
      </w:pPr>
      <w:r>
        <w:t>OpenShift manifests are prepared, but production deployment is intentionally not claimed complete because the image registry, production database, secrets, public route, and production feature flags still require environment-specific decisions.</w:t>
      </w:r>
    </w:p>
    <w:p>
      <w:pPr>
        <w:pStyle w:val="Heading1"/>
      </w:pPr>
      <w:r>
        <w:t>2. Problem statement and objectives</w:t>
      </w:r>
    </w:p>
    <w:p>
      <w:r>
        <w:t>OpenShift operations data is distributed across nodes, operators, MachineConfigPools, etcd, storage, workloads, certificates, and platform-specific components. Manual triage requires multiple commands and expert interpretation. The project consolidates those signals and adds explainable automation while preserving operator control.</w:t>
      </w:r>
    </w:p>
    <w:tbl>
      <w:tblPr>
        <w:tblW w:type="dxa" w:w="9360"/>
        <w:jc w:val="center"/>
        <w:tblLayout w:type="fixed"/>
        <w:tblLook w:firstColumn="1" w:firstRow="1" w:lastColumn="0" w:lastRow="0" w:noHBand="0" w:noVBand="1" w:val="04A0"/>
        <w:tblInd w:w="120" w:type="dxa"/>
        <w:tblLayout w:type="fixed"/>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pPr>
            <w:r>
              <w:rPr>
                <w:b/>
                <w:color w:val="0B2545"/>
                <w:sz w:val="18"/>
              </w:rPr>
              <w:t>Objective</w:t>
            </w:r>
          </w:p>
        </w:tc>
        <w:tc>
          <w:tcPr>
            <w:tcW w:type="dxa" w:w="6860"/>
            <w:tcMar>
              <w:top w:w="80" w:type="dxa"/>
              <w:start w:w="120" w:type="dxa"/>
              <w:bottom w:w="80" w:type="dxa"/>
              <w:end w:w="120" w:type="dxa"/>
            </w:tcMar>
            <w:shd w:fill="E8EEF5"/>
            <w:vAlign w:val="center"/>
          </w:tcPr>
          <w:p>
            <w:pPr>
              <w:spacing w:after="0"/>
            </w:pPr>
            <w:r>
              <w:rPr>
                <w:b/>
                <w:color w:val="0B2545"/>
                <w:sz w:val="18"/>
              </w:rPr>
              <w:t>How the project addresses it</w:t>
            </w:r>
          </w:p>
        </w:tc>
      </w:tr>
      <w:tr>
        <w:trPr>
          <w:cantSplit/>
        </w:trPr>
        <w:tc>
          <w:tcPr>
            <w:tcW w:type="dxa" w:w="2500"/>
            <w:tcMar>
              <w:top w:w="80" w:type="dxa"/>
              <w:start w:w="120" w:type="dxa"/>
              <w:bottom w:w="80" w:type="dxa"/>
              <w:end w:w="120" w:type="dxa"/>
            </w:tcMar>
            <w:vAlign w:val="top"/>
          </w:tcPr>
          <w:p>
            <w:pPr>
              <w:spacing w:after="0" w:line="264" w:lineRule="auto"/>
            </w:pPr>
            <w:r>
              <w:rPr>
                <w:sz w:val="18"/>
              </w:rPr>
              <w:t>Detect problems early</w:t>
            </w:r>
          </w:p>
        </w:tc>
        <w:tc>
          <w:tcPr>
            <w:tcW w:type="dxa" w:w="6860"/>
            <w:tcMar>
              <w:top w:w="80" w:type="dxa"/>
              <w:start w:w="120" w:type="dxa"/>
              <w:bottom w:w="80" w:type="dxa"/>
              <w:end w:w="120" w:type="dxa"/>
            </w:tcMar>
            <w:vAlign w:val="top"/>
          </w:tcPr>
          <w:p>
            <w:pPr>
              <w:spacing w:after="0" w:line="264" w:lineRule="auto"/>
            </w:pPr>
            <w:r>
              <w:rPr>
                <w:sz w:val="18"/>
              </w:rPr>
              <w:t>Runs immediately at startup and on a 15-minute interval; collects several control-plane and workload signals in parallel.</w:t>
            </w:r>
          </w:p>
        </w:tc>
      </w:tr>
      <w:tr>
        <w:trPr>
          <w:cantSplit/>
        </w:trPr>
        <w:tc>
          <w:tcPr>
            <w:tcW w:type="dxa" w:w="2500"/>
            <w:tcMar>
              <w:top w:w="80" w:type="dxa"/>
              <w:start w:w="120" w:type="dxa"/>
              <w:bottom w:w="80" w:type="dxa"/>
              <w:end w:w="120" w:type="dxa"/>
            </w:tcMar>
            <w:vAlign w:val="top"/>
            <w:shd w:fill="FAFBFC"/>
          </w:tcPr>
          <w:p>
            <w:pPr>
              <w:spacing w:after="0" w:line="264" w:lineRule="auto"/>
            </w:pPr>
            <w:r>
              <w:rPr>
                <w:sz w:val="18"/>
              </w:rPr>
              <w:t>Reduce analysis effort</w:t>
            </w:r>
          </w:p>
        </w:tc>
        <w:tc>
          <w:tcPr>
            <w:tcW w:type="dxa" w:w="6860"/>
            <w:tcMar>
              <w:top w:w="80" w:type="dxa"/>
              <w:start w:w="120" w:type="dxa"/>
              <w:bottom w:w="80" w:type="dxa"/>
              <w:end w:w="120" w:type="dxa"/>
            </w:tcMar>
            <w:vAlign w:val="top"/>
            <w:shd w:fill="FAFBFC"/>
          </w:tcPr>
          <w:p>
            <w:pPr>
              <w:spacing w:after="0" w:line="264" w:lineRule="auto"/>
            </w:pPr>
            <w:r>
              <w:rPr>
                <w:sz w:val="18"/>
              </w:rPr>
              <w:t>Normalizes raw observations and asks the LLM for a structured severity classification and concise summary.</w:t>
            </w:r>
          </w:p>
        </w:tc>
      </w:tr>
      <w:tr>
        <w:trPr>
          <w:cantSplit/>
        </w:trPr>
        <w:tc>
          <w:tcPr>
            <w:tcW w:type="dxa" w:w="2500"/>
            <w:tcMar>
              <w:top w:w="80" w:type="dxa"/>
              <w:start w:w="120" w:type="dxa"/>
              <w:bottom w:w="80" w:type="dxa"/>
              <w:end w:w="120" w:type="dxa"/>
            </w:tcMar>
            <w:vAlign w:val="top"/>
          </w:tcPr>
          <w:p>
            <w:pPr>
              <w:spacing w:after="0" w:line="264" w:lineRule="auto"/>
            </w:pPr>
            <w:r>
              <w:rPr>
                <w:sz w:val="18"/>
              </w:rPr>
              <w:t>Reuse organizational knowledge</w:t>
            </w:r>
          </w:p>
        </w:tc>
        <w:tc>
          <w:tcPr>
            <w:tcW w:type="dxa" w:w="6860"/>
            <w:tcMar>
              <w:top w:w="80" w:type="dxa"/>
              <w:start w:w="120" w:type="dxa"/>
              <w:bottom w:w="80" w:type="dxa"/>
              <w:end w:w="120" w:type="dxa"/>
            </w:tcMar>
            <w:vAlign w:val="top"/>
          </w:tcPr>
          <w:p>
            <w:pPr>
              <w:spacing w:after="0" w:line="264" w:lineRule="auto"/>
            </w:pPr>
            <w:r>
              <w:rPr>
                <w:sz w:val="18"/>
              </w:rPr>
              <w:t>Stores solved incidents as vectors and retrieves similar historical fixes before generating a new resolution.</w:t>
            </w:r>
          </w:p>
        </w:tc>
      </w:tr>
      <w:tr>
        <w:trPr>
          <w:cantSplit/>
        </w:trPr>
        <w:tc>
          <w:tcPr>
            <w:tcW w:type="dxa" w:w="2500"/>
            <w:tcMar>
              <w:top w:w="80" w:type="dxa"/>
              <w:start w:w="120" w:type="dxa"/>
              <w:bottom w:w="80" w:type="dxa"/>
              <w:end w:w="120" w:type="dxa"/>
            </w:tcMar>
            <w:vAlign w:val="top"/>
            <w:shd w:fill="FAFBFC"/>
          </w:tcPr>
          <w:p>
            <w:pPr>
              <w:spacing w:after="0" w:line="264" w:lineRule="auto"/>
            </w:pPr>
            <w:r>
              <w:rPr>
                <w:sz w:val="18"/>
              </w:rPr>
              <w:t>Communicate clearly</w:t>
            </w:r>
          </w:p>
        </w:tc>
        <w:tc>
          <w:tcPr>
            <w:tcW w:type="dxa" w:w="6860"/>
            <w:tcMar>
              <w:top w:w="80" w:type="dxa"/>
              <w:start w:w="120" w:type="dxa"/>
              <w:bottom w:w="80" w:type="dxa"/>
              <w:end w:w="120" w:type="dxa"/>
            </w:tcMar>
            <w:vAlign w:val="top"/>
            <w:shd w:fill="FAFBFC"/>
          </w:tcPr>
          <w:p>
            <w:pPr>
              <w:spacing w:after="0" w:line="264" w:lineRule="auto"/>
            </w:pPr>
            <w:r>
              <w:rPr>
                <w:sz w:val="18"/>
              </w:rPr>
              <w:t>Builds a Gmail-safe HTML report and optionally sends via SMTP or SendGrid.</w:t>
            </w:r>
          </w:p>
        </w:tc>
      </w:tr>
      <w:tr>
        <w:trPr>
          <w:cantSplit/>
        </w:trPr>
        <w:tc>
          <w:tcPr>
            <w:tcW w:type="dxa" w:w="2500"/>
            <w:tcMar>
              <w:top w:w="80" w:type="dxa"/>
              <w:start w:w="120" w:type="dxa"/>
              <w:bottom w:w="80" w:type="dxa"/>
              <w:end w:w="120" w:type="dxa"/>
            </w:tcMar>
            <w:vAlign w:val="top"/>
          </w:tcPr>
          <w:p>
            <w:pPr>
              <w:spacing w:after="0" w:line="264" w:lineRule="auto"/>
            </w:pPr>
            <w:r>
              <w:rPr>
                <w:sz w:val="18"/>
              </w:rPr>
              <w:t>Escalate only meaningful critical events</w:t>
            </w:r>
          </w:p>
        </w:tc>
        <w:tc>
          <w:tcPr>
            <w:tcW w:type="dxa" w:w="6860"/>
            <w:tcMar>
              <w:top w:w="80" w:type="dxa"/>
              <w:start w:w="120" w:type="dxa"/>
              <w:bottom w:w="80" w:type="dxa"/>
              <w:end w:w="120" w:type="dxa"/>
            </w:tcMar>
            <w:vAlign w:val="top"/>
          </w:tcPr>
          <w:p>
            <w:pPr>
              <w:spacing w:after="0" w:line="264" w:lineRule="auto"/>
            </w:pPr>
            <w:r>
              <w:rPr>
                <w:sz w:val="18"/>
              </w:rPr>
              <w:t>Requires an in-scope critical incident to persist for the configured consecutive cycles before creating Calendar/Meet.</w:t>
            </w:r>
          </w:p>
        </w:tc>
      </w:tr>
      <w:tr>
        <w:trPr>
          <w:cantSplit/>
        </w:trPr>
        <w:tc>
          <w:tcPr>
            <w:tcW w:type="dxa" w:w="2500"/>
            <w:tcMar>
              <w:top w:w="80" w:type="dxa"/>
              <w:start w:w="120" w:type="dxa"/>
              <w:bottom w:w="80" w:type="dxa"/>
              <w:end w:w="120" w:type="dxa"/>
            </w:tcMar>
            <w:vAlign w:val="top"/>
            <w:shd w:fill="FAFBFC"/>
          </w:tcPr>
          <w:p>
            <w:pPr>
              <w:spacing w:after="0" w:line="264" w:lineRule="auto"/>
            </w:pPr>
            <w:r>
              <w:rPr>
                <w:sz w:val="18"/>
              </w:rPr>
              <w:t>Prevent unsafe automation</w:t>
            </w:r>
          </w:p>
        </w:tc>
        <w:tc>
          <w:tcPr>
            <w:tcW w:type="dxa" w:w="6860"/>
            <w:tcMar>
              <w:top w:w="80" w:type="dxa"/>
              <w:start w:w="120" w:type="dxa"/>
              <w:bottom w:w="80" w:type="dxa"/>
              <w:end w:w="120" w:type="dxa"/>
            </w:tcMar>
            <w:vAlign w:val="top"/>
            <w:shd w:fill="FAFBFC"/>
          </w:tcPr>
          <w:p>
            <w:pPr>
              <w:spacing w:after="0" w:line="264" w:lineRule="auto"/>
            </w:pPr>
            <w:r>
              <w:rPr>
                <w:sz w:val="18"/>
              </w:rPr>
              <w:t>Limits remediation to one allowlisted namespace/deployment/action and separates dry-run from live execution.</w:t>
            </w:r>
          </w:p>
        </w:tc>
      </w:tr>
      <w:tr>
        <w:trPr>
          <w:cantSplit/>
        </w:trPr>
        <w:tc>
          <w:tcPr>
            <w:tcW w:type="dxa" w:w="2500"/>
            <w:tcMar>
              <w:top w:w="80" w:type="dxa"/>
              <w:start w:w="120" w:type="dxa"/>
              <w:bottom w:w="80" w:type="dxa"/>
              <w:end w:w="120" w:type="dxa"/>
            </w:tcMar>
            <w:vAlign w:val="top"/>
          </w:tcPr>
          <w:p>
            <w:pPr>
              <w:spacing w:after="0" w:line="264" w:lineRule="auto"/>
            </w:pPr>
            <w:r>
              <w:rPr>
                <w:sz w:val="18"/>
              </w:rPr>
              <w:t>Provide traceability</w:t>
            </w:r>
          </w:p>
        </w:tc>
        <w:tc>
          <w:tcPr>
            <w:tcW w:type="dxa" w:w="6860"/>
            <w:tcMar>
              <w:top w:w="80" w:type="dxa"/>
              <w:start w:w="120" w:type="dxa"/>
              <w:bottom w:w="80" w:type="dxa"/>
              <w:end w:w="120" w:type="dxa"/>
            </w:tcMar>
            <w:vAlign w:val="top"/>
          </w:tcPr>
          <w:p>
            <w:pPr>
              <w:spacing w:after="0" w:line="264" w:lineRule="auto"/>
            </w:pPr>
            <w:r>
              <w:rPr>
                <w:sz w:val="18"/>
              </w:rPr>
              <w:t>Stores inputs, outputs, approval decisions, execution mode, result, timestamps, and audit events in PostgreSQL.</w:t>
            </w:r>
          </w:p>
        </w:tc>
      </w:tr>
    </w:tbl>
    <w:p>
      <w:pPr>
        <w:spacing w:after="0"/>
      </w:pPr>
    </w:p>
    <w:p>
      <w:pPr>
        <w:pStyle w:val="Heading1"/>
      </w:pPr>
      <w:r>
        <w:t>3. OpenShift fundamentals used by the project</w:t>
      </w:r>
    </w:p>
    <w:tbl>
      <w:tblPr>
        <w:tblW w:type="dxa" w:w="9360"/>
        <w:jc w:val="center"/>
        <w:tblLayout w:type="fixed"/>
        <w:tblLook w:firstColumn="1" w:firstRow="1" w:lastColumn="0" w:lastRow="0" w:noHBand="0" w:noVBand="1" w:val="04A0"/>
        <w:tblInd w:w="120" w:type="dxa"/>
        <w:tblLayout w:type="fixed"/>
      </w:tblPr>
      <w:tblGrid>
        <w:gridCol w:w="1450"/>
        <w:gridCol w:w="3000"/>
        <w:gridCol w:w="4910"/>
      </w:tblGrid>
      <w:tr>
        <w:trPr>
          <w:tblHeader w:val="true"/>
          <w:cantSplit/>
        </w:trPr>
        <w:tc>
          <w:tcPr>
            <w:tcW w:type="dxa" w:w="1450"/>
            <w:tcMar>
              <w:top w:w="80" w:type="dxa"/>
              <w:start w:w="120" w:type="dxa"/>
              <w:bottom w:w="80" w:type="dxa"/>
              <w:end w:w="120" w:type="dxa"/>
            </w:tcMar>
            <w:shd w:fill="E8EEF5"/>
            <w:vAlign w:val="center"/>
          </w:tcPr>
          <w:p>
            <w:pPr>
              <w:spacing w:after="0"/>
            </w:pPr>
            <w:r>
              <w:rPr>
                <w:b/>
                <w:color w:val="0B2545"/>
                <w:sz w:val="18"/>
              </w:rPr>
              <w:t>Concept</w:t>
            </w:r>
          </w:p>
        </w:tc>
        <w:tc>
          <w:tcPr>
            <w:tcW w:type="dxa" w:w="3000"/>
            <w:tcMar>
              <w:top w:w="80" w:type="dxa"/>
              <w:start w:w="120" w:type="dxa"/>
              <w:bottom w:w="80" w:type="dxa"/>
              <w:end w:w="120" w:type="dxa"/>
            </w:tcMar>
            <w:shd w:fill="E8EEF5"/>
            <w:vAlign w:val="center"/>
          </w:tcPr>
          <w:p>
            <w:pPr>
              <w:spacing w:after="0"/>
            </w:pPr>
            <w:r>
              <w:rPr>
                <w:b/>
                <w:color w:val="0B2545"/>
                <w:sz w:val="18"/>
              </w:rPr>
              <w:t>Meaning</w:t>
            </w:r>
          </w:p>
        </w:tc>
        <w:tc>
          <w:tcPr>
            <w:tcW w:type="dxa" w:w="4910"/>
            <w:tcMar>
              <w:top w:w="80" w:type="dxa"/>
              <w:start w:w="120" w:type="dxa"/>
              <w:bottom w:w="80" w:type="dxa"/>
              <w:end w:w="120" w:type="dxa"/>
            </w:tcMar>
            <w:shd w:fill="E8EEF5"/>
            <w:vAlign w:val="center"/>
          </w:tcPr>
          <w:p>
            <w:pPr>
              <w:spacing w:after="0"/>
            </w:pPr>
            <w:r>
              <w:rPr>
                <w:b/>
                <w:color w:val="0B2545"/>
                <w:sz w:val="18"/>
              </w:rPr>
              <w:t>Use in this project</w:t>
            </w:r>
          </w:p>
        </w:tc>
      </w:tr>
      <w:tr>
        <w:trPr>
          <w:cantSplit/>
        </w:trPr>
        <w:tc>
          <w:tcPr>
            <w:tcW w:type="dxa" w:w="1450"/>
            <w:tcMar>
              <w:top w:w="80" w:type="dxa"/>
              <w:start w:w="120" w:type="dxa"/>
              <w:bottom w:w="80" w:type="dxa"/>
              <w:end w:w="120" w:type="dxa"/>
            </w:tcMar>
            <w:vAlign w:val="top"/>
          </w:tcPr>
          <w:p>
            <w:pPr>
              <w:spacing w:after="0" w:line="264" w:lineRule="auto"/>
            </w:pPr>
            <w:r>
              <w:rPr>
                <w:sz w:val="18"/>
              </w:rPr>
              <w:t>Cluster</w:t>
            </w:r>
          </w:p>
        </w:tc>
        <w:tc>
          <w:tcPr>
            <w:tcW w:type="dxa" w:w="3000"/>
            <w:tcMar>
              <w:top w:w="80" w:type="dxa"/>
              <w:start w:w="120" w:type="dxa"/>
              <w:bottom w:w="80" w:type="dxa"/>
              <w:end w:w="120" w:type="dxa"/>
            </w:tcMar>
            <w:vAlign w:val="top"/>
          </w:tcPr>
          <w:p>
            <w:pPr>
              <w:spacing w:after="0" w:line="264" w:lineRule="auto"/>
            </w:pPr>
            <w:r>
              <w:rPr>
                <w:sz w:val="18"/>
              </w:rPr>
              <w:t>The full OpenShift environment.</w:t>
            </w:r>
          </w:p>
        </w:tc>
        <w:tc>
          <w:tcPr>
            <w:tcW w:type="dxa" w:w="4910"/>
            <w:tcMar>
              <w:top w:w="80" w:type="dxa"/>
              <w:start w:w="120" w:type="dxa"/>
              <w:bottom w:w="80" w:type="dxa"/>
              <w:end w:w="120" w:type="dxa"/>
            </w:tcMar>
            <w:vAlign w:val="top"/>
          </w:tcPr>
          <w:p>
            <w:pPr>
              <w:spacing w:after="0" w:line="264" w:lineRule="auto"/>
            </w:pPr>
            <w:r>
              <w:rPr>
                <w:sz w:val="18"/>
              </w:rPr>
              <w:t>Primary monitored boundary and cluster name stored with each run.</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8"/>
              </w:rPr>
              <w:t>Control plane</w:t>
            </w:r>
          </w:p>
        </w:tc>
        <w:tc>
          <w:tcPr>
            <w:tcW w:type="dxa" w:w="3000"/>
            <w:tcMar>
              <w:top w:w="80" w:type="dxa"/>
              <w:start w:w="120" w:type="dxa"/>
              <w:bottom w:w="80" w:type="dxa"/>
              <w:end w:w="120" w:type="dxa"/>
            </w:tcMar>
            <w:vAlign w:val="top"/>
            <w:shd w:fill="FAFBFC"/>
          </w:tcPr>
          <w:p>
            <w:pPr>
              <w:spacing w:after="0" w:line="264" w:lineRule="auto"/>
            </w:pPr>
            <w:r>
              <w:rPr>
                <w:sz w:val="18"/>
              </w:rPr>
              <w:t>API, scheduler, controllers, and etcd that coordinate the cluster.</w:t>
            </w:r>
          </w:p>
        </w:tc>
        <w:tc>
          <w:tcPr>
            <w:tcW w:type="dxa" w:w="4910"/>
            <w:tcMar>
              <w:top w:w="80" w:type="dxa"/>
              <w:start w:w="120" w:type="dxa"/>
              <w:bottom w:w="80" w:type="dxa"/>
              <w:end w:w="120" w:type="dxa"/>
            </w:tcMar>
            <w:vAlign w:val="top"/>
            <w:shd w:fill="FAFBFC"/>
          </w:tcPr>
          <w:p>
            <w:pPr>
              <w:spacing w:after="0" w:line="264" w:lineRule="auto"/>
            </w:pPr>
            <w:r>
              <w:rPr>
                <w:sz w:val="18"/>
              </w:rPr>
              <w:t>Operators and etcd health are collected; nodes are classified by role.</w:t>
            </w:r>
          </w:p>
        </w:tc>
      </w:tr>
      <w:tr>
        <w:trPr>
          <w:cantSplit/>
        </w:trPr>
        <w:tc>
          <w:tcPr>
            <w:tcW w:type="dxa" w:w="1450"/>
            <w:tcMar>
              <w:top w:w="80" w:type="dxa"/>
              <w:start w:w="120" w:type="dxa"/>
              <w:bottom w:w="80" w:type="dxa"/>
              <w:end w:w="120" w:type="dxa"/>
            </w:tcMar>
            <w:vAlign w:val="top"/>
          </w:tcPr>
          <w:p>
            <w:pPr>
              <w:spacing w:after="0" w:line="264" w:lineRule="auto"/>
            </w:pPr>
            <w:r>
              <w:rPr>
                <w:sz w:val="18"/>
              </w:rPr>
              <w:t>Worker node</w:t>
            </w:r>
          </w:p>
        </w:tc>
        <w:tc>
          <w:tcPr>
            <w:tcW w:type="dxa" w:w="3000"/>
            <w:tcMar>
              <w:top w:w="80" w:type="dxa"/>
              <w:start w:w="120" w:type="dxa"/>
              <w:bottom w:w="80" w:type="dxa"/>
              <w:end w:w="120" w:type="dxa"/>
            </w:tcMar>
            <w:vAlign w:val="top"/>
          </w:tcPr>
          <w:p>
            <w:pPr>
              <w:spacing w:after="0" w:line="264" w:lineRule="auto"/>
            </w:pPr>
            <w:r>
              <w:rPr>
                <w:sz w:val="18"/>
              </w:rPr>
              <w:t>Machine that runs application workloads.</w:t>
            </w:r>
          </w:p>
        </w:tc>
        <w:tc>
          <w:tcPr>
            <w:tcW w:type="dxa" w:w="4910"/>
            <w:tcMar>
              <w:top w:w="80" w:type="dxa"/>
              <w:start w:w="120" w:type="dxa"/>
              <w:bottom w:w="80" w:type="dxa"/>
              <w:end w:w="120" w:type="dxa"/>
            </w:tcMar>
            <w:vAlign w:val="top"/>
          </w:tcPr>
          <w:p>
            <w:pPr>
              <w:spacing w:after="0" w:line="264" w:lineRule="auto"/>
            </w:pPr>
            <w:r>
              <w:rPr>
                <w:sz w:val="18"/>
              </w:rPr>
              <w:t>Readiness, pressure, capacity, and conditions contribute to analysis.</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8"/>
              </w:rPr>
              <w:t>Namespace</w:t>
            </w:r>
          </w:p>
        </w:tc>
        <w:tc>
          <w:tcPr>
            <w:tcW w:type="dxa" w:w="3000"/>
            <w:tcMar>
              <w:top w:w="80" w:type="dxa"/>
              <w:start w:w="120" w:type="dxa"/>
              <w:bottom w:w="80" w:type="dxa"/>
              <w:end w:w="120" w:type="dxa"/>
            </w:tcMar>
            <w:vAlign w:val="top"/>
            <w:shd w:fill="FAFBFC"/>
          </w:tcPr>
          <w:p>
            <w:pPr>
              <w:spacing w:after="0" w:line="264" w:lineRule="auto"/>
            </w:pPr>
            <w:r>
              <w:rPr>
                <w:sz w:val="18"/>
              </w:rPr>
              <w:t>Logical isolation boundary for resources.</w:t>
            </w:r>
          </w:p>
        </w:tc>
        <w:tc>
          <w:tcPr>
            <w:tcW w:type="dxa" w:w="4910"/>
            <w:tcMar>
              <w:top w:w="80" w:type="dxa"/>
              <w:start w:w="120" w:type="dxa"/>
              <w:bottom w:w="80" w:type="dxa"/>
              <w:end w:w="120" w:type="dxa"/>
            </w:tcMar>
            <w:vAlign w:val="top"/>
            <w:shd w:fill="FAFBFC"/>
          </w:tcPr>
          <w:p>
            <w:pPr>
              <w:spacing w:after="0" w:line="264" w:lineRule="auto"/>
            </w:pPr>
            <w:r>
              <w:rPr>
                <w:sz w:val="18"/>
              </w:rPr>
              <w:t>Used for inventory, incident identity, reporting, and remediation allowlisting.</w:t>
            </w:r>
          </w:p>
        </w:tc>
      </w:tr>
      <w:tr>
        <w:trPr>
          <w:cantSplit/>
        </w:trPr>
        <w:tc>
          <w:tcPr>
            <w:tcW w:type="dxa" w:w="1450"/>
            <w:tcMar>
              <w:top w:w="80" w:type="dxa"/>
              <w:start w:w="120" w:type="dxa"/>
              <w:bottom w:w="80" w:type="dxa"/>
              <w:end w:w="120" w:type="dxa"/>
            </w:tcMar>
            <w:vAlign w:val="top"/>
          </w:tcPr>
          <w:p>
            <w:pPr>
              <w:spacing w:after="0" w:line="264" w:lineRule="auto"/>
            </w:pPr>
            <w:r>
              <w:rPr>
                <w:sz w:val="18"/>
              </w:rPr>
              <w:t>Pod</w:t>
            </w:r>
          </w:p>
        </w:tc>
        <w:tc>
          <w:tcPr>
            <w:tcW w:type="dxa" w:w="3000"/>
            <w:tcMar>
              <w:top w:w="80" w:type="dxa"/>
              <w:start w:w="120" w:type="dxa"/>
              <w:bottom w:w="80" w:type="dxa"/>
              <w:end w:w="120" w:type="dxa"/>
            </w:tcMar>
            <w:vAlign w:val="top"/>
          </w:tcPr>
          <w:p>
            <w:pPr>
              <w:spacing w:after="0" w:line="264" w:lineRule="auto"/>
            </w:pPr>
            <w:r>
              <w:rPr>
                <w:sz w:val="18"/>
              </w:rPr>
              <w:t>Smallest deployable workload unit.</w:t>
            </w:r>
          </w:p>
        </w:tc>
        <w:tc>
          <w:tcPr>
            <w:tcW w:type="dxa" w:w="4910"/>
            <w:tcMar>
              <w:top w:w="80" w:type="dxa"/>
              <w:start w:w="120" w:type="dxa"/>
              <w:bottom w:w="80" w:type="dxa"/>
              <w:end w:w="120" w:type="dxa"/>
            </w:tcMar>
            <w:vAlign w:val="top"/>
          </w:tcPr>
          <w:p>
            <w:pPr>
              <w:spacing w:after="0" w:line="264" w:lineRule="auto"/>
            </w:pPr>
            <w:r>
              <w:rPr>
                <w:sz w:val="18"/>
              </w:rPr>
              <w:t>Status, readiness, restarts, waiting reasons, and owner references are inspected.</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8"/>
              </w:rPr>
              <w:t>Deployment</w:t>
            </w:r>
          </w:p>
        </w:tc>
        <w:tc>
          <w:tcPr>
            <w:tcW w:type="dxa" w:w="3000"/>
            <w:tcMar>
              <w:top w:w="80" w:type="dxa"/>
              <w:start w:w="120" w:type="dxa"/>
              <w:bottom w:w="80" w:type="dxa"/>
              <w:end w:w="120" w:type="dxa"/>
            </w:tcMar>
            <w:vAlign w:val="top"/>
            <w:shd w:fill="FAFBFC"/>
          </w:tcPr>
          <w:p>
            <w:pPr>
              <w:spacing w:after="0" w:line="264" w:lineRule="auto"/>
            </w:pPr>
            <w:r>
              <w:rPr>
                <w:sz w:val="18"/>
              </w:rPr>
              <w:t>Controller that maintains replicated application pods.</w:t>
            </w:r>
          </w:p>
        </w:tc>
        <w:tc>
          <w:tcPr>
            <w:tcW w:type="dxa" w:w="4910"/>
            <w:tcMar>
              <w:top w:w="80" w:type="dxa"/>
              <w:start w:w="120" w:type="dxa"/>
              <w:bottom w:w="80" w:type="dxa"/>
              <w:end w:w="120" w:type="dxa"/>
            </w:tcMar>
            <w:vAlign w:val="top"/>
            <w:shd w:fill="FAFBFC"/>
          </w:tcPr>
          <w:p>
            <w:pPr>
              <w:spacing w:after="0" w:line="264" w:lineRule="auto"/>
            </w:pPr>
            <w:r>
              <w:rPr>
                <w:sz w:val="18"/>
              </w:rPr>
              <w:t>The only implemented remediation target is an allowlisted Deployment rollout restart.</w:t>
            </w:r>
          </w:p>
        </w:tc>
      </w:tr>
      <w:tr>
        <w:trPr>
          <w:cantSplit/>
        </w:trPr>
        <w:tc>
          <w:tcPr>
            <w:tcW w:type="dxa" w:w="1450"/>
            <w:tcMar>
              <w:top w:w="80" w:type="dxa"/>
              <w:start w:w="120" w:type="dxa"/>
              <w:bottom w:w="80" w:type="dxa"/>
              <w:end w:w="120" w:type="dxa"/>
            </w:tcMar>
            <w:vAlign w:val="top"/>
          </w:tcPr>
          <w:p>
            <w:pPr>
              <w:spacing w:after="0" w:line="264" w:lineRule="auto"/>
            </w:pPr>
            <w:r>
              <w:rPr>
                <w:sz w:val="18"/>
              </w:rPr>
              <w:t>Service</w:t>
            </w:r>
          </w:p>
        </w:tc>
        <w:tc>
          <w:tcPr>
            <w:tcW w:type="dxa" w:w="3000"/>
            <w:tcMar>
              <w:top w:w="80" w:type="dxa"/>
              <w:start w:w="120" w:type="dxa"/>
              <w:bottom w:w="80" w:type="dxa"/>
              <w:end w:w="120" w:type="dxa"/>
            </w:tcMar>
            <w:vAlign w:val="top"/>
          </w:tcPr>
          <w:p>
            <w:pPr>
              <w:spacing w:after="0" w:line="264" w:lineRule="auto"/>
            </w:pPr>
            <w:r>
              <w:rPr>
                <w:sz w:val="18"/>
              </w:rPr>
              <w:t>Stable in-cluster network endpoint.</w:t>
            </w:r>
          </w:p>
        </w:tc>
        <w:tc>
          <w:tcPr>
            <w:tcW w:type="dxa" w:w="4910"/>
            <w:tcMar>
              <w:top w:w="80" w:type="dxa"/>
              <w:start w:w="120" w:type="dxa"/>
              <w:bottom w:w="80" w:type="dxa"/>
              <w:end w:w="120" w:type="dxa"/>
            </w:tcMar>
            <w:vAlign w:val="top"/>
          </w:tcPr>
          <w:p>
            <w:pPr>
              <w:spacing w:after="0" w:line="264" w:lineRule="auto"/>
            </w:pPr>
            <w:r>
              <w:rPr>
                <w:sz w:val="18"/>
              </w:rPr>
              <w:t>Used by the dashboard and expected external PostgreSQL service in production.</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8"/>
              </w:rPr>
              <w:t>Route</w:t>
            </w:r>
          </w:p>
        </w:tc>
        <w:tc>
          <w:tcPr>
            <w:tcW w:type="dxa" w:w="3000"/>
            <w:tcMar>
              <w:top w:w="80" w:type="dxa"/>
              <w:start w:w="120" w:type="dxa"/>
              <w:bottom w:w="80" w:type="dxa"/>
              <w:end w:w="120" w:type="dxa"/>
            </w:tcMar>
            <w:vAlign w:val="top"/>
            <w:shd w:fill="FAFBFC"/>
          </w:tcPr>
          <w:p>
            <w:pPr>
              <w:spacing w:after="0" w:line="264" w:lineRule="auto"/>
            </w:pPr>
            <w:r>
              <w:rPr>
                <w:sz w:val="18"/>
              </w:rPr>
              <w:t>OpenShift public/external HTTP entry point.</w:t>
            </w:r>
          </w:p>
        </w:tc>
        <w:tc>
          <w:tcPr>
            <w:tcW w:type="dxa" w:w="4910"/>
            <w:tcMar>
              <w:top w:w="80" w:type="dxa"/>
              <w:start w:w="120" w:type="dxa"/>
              <w:bottom w:w="80" w:type="dxa"/>
              <w:end w:w="120" w:type="dxa"/>
            </w:tcMar>
            <w:vAlign w:val="top"/>
            <w:shd w:fill="FAFBFC"/>
          </w:tcPr>
          <w:p>
            <w:pPr>
              <w:spacing w:after="0" w:line="264" w:lineRule="auto"/>
            </w:pPr>
            <w:r>
              <w:rPr>
                <w:sz w:val="18"/>
              </w:rPr>
              <w:t>Required for approvers outside the local machine to open the approval page.</w:t>
            </w:r>
          </w:p>
        </w:tc>
      </w:tr>
      <w:tr>
        <w:trPr>
          <w:cantSplit/>
        </w:trPr>
        <w:tc>
          <w:tcPr>
            <w:tcW w:type="dxa" w:w="1450"/>
            <w:tcMar>
              <w:top w:w="80" w:type="dxa"/>
              <w:start w:w="120" w:type="dxa"/>
              <w:bottom w:w="80" w:type="dxa"/>
              <w:end w:w="120" w:type="dxa"/>
            </w:tcMar>
            <w:vAlign w:val="top"/>
          </w:tcPr>
          <w:p>
            <w:pPr>
              <w:spacing w:after="0" w:line="264" w:lineRule="auto"/>
            </w:pPr>
            <w:r>
              <w:rPr>
                <w:sz w:val="18"/>
              </w:rPr>
              <w:t>Operator</w:t>
            </w:r>
          </w:p>
        </w:tc>
        <w:tc>
          <w:tcPr>
            <w:tcW w:type="dxa" w:w="3000"/>
            <w:tcMar>
              <w:top w:w="80" w:type="dxa"/>
              <w:start w:w="120" w:type="dxa"/>
              <w:bottom w:w="80" w:type="dxa"/>
              <w:end w:w="120" w:type="dxa"/>
            </w:tcMar>
            <w:vAlign w:val="top"/>
          </w:tcPr>
          <w:p>
            <w:pPr>
              <w:spacing w:after="0" w:line="264" w:lineRule="auto"/>
            </w:pPr>
            <w:r>
              <w:rPr>
                <w:sz w:val="18"/>
              </w:rPr>
              <w:t>Controller managing an OpenShift capability.</w:t>
            </w:r>
          </w:p>
        </w:tc>
        <w:tc>
          <w:tcPr>
            <w:tcW w:type="dxa" w:w="4910"/>
            <w:tcMar>
              <w:top w:w="80" w:type="dxa"/>
              <w:start w:w="120" w:type="dxa"/>
              <w:bottom w:w="80" w:type="dxa"/>
              <w:end w:w="120" w:type="dxa"/>
            </w:tcMar>
            <w:vAlign w:val="top"/>
          </w:tcPr>
          <w:p>
            <w:pPr>
              <w:spacing w:after="0" w:line="264" w:lineRule="auto"/>
            </w:pPr>
            <w:r>
              <w:rPr>
                <w:sz w:val="18"/>
              </w:rPr>
              <w:t>ClusterOperator availability/degradation/progression is collected.</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8"/>
              </w:rPr>
              <w:t>MachineConfigPool</w:t>
            </w:r>
          </w:p>
        </w:tc>
        <w:tc>
          <w:tcPr>
            <w:tcW w:type="dxa" w:w="3000"/>
            <w:tcMar>
              <w:top w:w="80" w:type="dxa"/>
              <w:start w:w="120" w:type="dxa"/>
              <w:bottom w:w="80" w:type="dxa"/>
              <w:end w:w="120" w:type="dxa"/>
            </w:tcMar>
            <w:vAlign w:val="top"/>
            <w:shd w:fill="FAFBFC"/>
          </w:tcPr>
          <w:p>
            <w:pPr>
              <w:spacing w:after="0" w:line="264" w:lineRule="auto"/>
            </w:pPr>
            <w:r>
              <w:rPr>
                <w:sz w:val="18"/>
              </w:rPr>
              <w:t>Group of nodes sharing machine configuration.</w:t>
            </w:r>
          </w:p>
        </w:tc>
        <w:tc>
          <w:tcPr>
            <w:tcW w:type="dxa" w:w="4910"/>
            <w:tcMar>
              <w:top w:w="80" w:type="dxa"/>
              <w:start w:w="120" w:type="dxa"/>
              <w:bottom w:w="80" w:type="dxa"/>
              <w:end w:w="120" w:type="dxa"/>
            </w:tcMar>
            <w:vAlign w:val="top"/>
            <w:shd w:fill="FAFBFC"/>
          </w:tcPr>
          <w:p>
            <w:pPr>
              <w:spacing w:after="0" w:line="264" w:lineRule="auto"/>
            </w:pPr>
            <w:r>
              <w:rPr>
                <w:sz w:val="18"/>
              </w:rPr>
              <w:t>Updated, updating, degraded, and machine counts are collected.</w:t>
            </w:r>
          </w:p>
        </w:tc>
      </w:tr>
      <w:tr>
        <w:trPr>
          <w:cantSplit/>
        </w:trPr>
        <w:tc>
          <w:tcPr>
            <w:tcW w:type="dxa" w:w="1450"/>
            <w:tcMar>
              <w:top w:w="80" w:type="dxa"/>
              <w:start w:w="120" w:type="dxa"/>
              <w:bottom w:w="80" w:type="dxa"/>
              <w:end w:w="120" w:type="dxa"/>
            </w:tcMar>
            <w:vAlign w:val="top"/>
          </w:tcPr>
          <w:p>
            <w:pPr>
              <w:spacing w:after="0" w:line="264" w:lineRule="auto"/>
            </w:pPr>
            <w:r>
              <w:rPr>
                <w:sz w:val="18"/>
              </w:rPr>
              <w:t>ConfigMap</w:t>
            </w:r>
          </w:p>
        </w:tc>
        <w:tc>
          <w:tcPr>
            <w:tcW w:type="dxa" w:w="3000"/>
            <w:tcMar>
              <w:top w:w="80" w:type="dxa"/>
              <w:start w:w="120" w:type="dxa"/>
              <w:bottom w:w="80" w:type="dxa"/>
              <w:end w:w="120" w:type="dxa"/>
            </w:tcMar>
            <w:vAlign w:val="top"/>
          </w:tcPr>
          <w:p>
            <w:pPr>
              <w:spacing w:after="0" w:line="264" w:lineRule="auto"/>
            </w:pPr>
            <w:r>
              <w:rPr>
                <w:sz w:val="18"/>
              </w:rPr>
              <w:t>Non-secret runtime configuration.</w:t>
            </w:r>
          </w:p>
        </w:tc>
        <w:tc>
          <w:tcPr>
            <w:tcW w:type="dxa" w:w="4910"/>
            <w:tcMar>
              <w:top w:w="80" w:type="dxa"/>
              <w:start w:w="120" w:type="dxa"/>
              <w:bottom w:w="80" w:type="dxa"/>
              <w:end w:w="120" w:type="dxa"/>
            </w:tcMar>
            <w:vAlign w:val="top"/>
          </w:tcPr>
          <w:p>
            <w:pPr>
              <w:spacing w:after="0" w:line="264" w:lineRule="auto"/>
            </w:pPr>
            <w:r>
              <w:rPr>
                <w:sz w:val="18"/>
              </w:rPr>
              <w:t>Production feature flags, intervals, file paths, and safe defaults.</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8"/>
              </w:rPr>
              <w:t>Secret</w:t>
            </w:r>
          </w:p>
        </w:tc>
        <w:tc>
          <w:tcPr>
            <w:tcW w:type="dxa" w:w="3000"/>
            <w:tcMar>
              <w:top w:w="80" w:type="dxa"/>
              <w:start w:w="120" w:type="dxa"/>
              <w:bottom w:w="80" w:type="dxa"/>
              <w:end w:w="120" w:type="dxa"/>
            </w:tcMar>
            <w:vAlign w:val="top"/>
            <w:shd w:fill="FAFBFC"/>
          </w:tcPr>
          <w:p>
            <w:pPr>
              <w:spacing w:after="0" w:line="264" w:lineRule="auto"/>
            </w:pPr>
            <w:r>
              <w:rPr>
                <w:sz w:val="18"/>
              </w:rPr>
              <w:t>Credential/configuration storage.</w:t>
            </w:r>
          </w:p>
        </w:tc>
        <w:tc>
          <w:tcPr>
            <w:tcW w:type="dxa" w:w="4910"/>
            <w:tcMar>
              <w:top w:w="80" w:type="dxa"/>
              <w:start w:w="120" w:type="dxa"/>
              <w:bottom w:w="80" w:type="dxa"/>
              <w:end w:w="120" w:type="dxa"/>
            </w:tcMar>
            <w:vAlign w:val="top"/>
            <w:shd w:fill="FAFBFC"/>
          </w:tcPr>
          <w:p>
            <w:pPr>
              <w:spacing w:after="0" w:line="264" w:lineRule="auto"/>
            </w:pPr>
            <w:r>
              <w:rPr>
                <w:sz w:val="18"/>
              </w:rPr>
              <w:t>Holds database, LLM, email, Google OAuth, and optional HITL approval secrets.</w:t>
            </w:r>
          </w:p>
        </w:tc>
      </w:tr>
      <w:tr>
        <w:trPr>
          <w:cantSplit/>
        </w:trPr>
        <w:tc>
          <w:tcPr>
            <w:tcW w:type="dxa" w:w="1450"/>
            <w:tcMar>
              <w:top w:w="80" w:type="dxa"/>
              <w:start w:w="120" w:type="dxa"/>
              <w:bottom w:w="80" w:type="dxa"/>
              <w:end w:w="120" w:type="dxa"/>
            </w:tcMar>
            <w:vAlign w:val="top"/>
          </w:tcPr>
          <w:p>
            <w:pPr>
              <w:spacing w:after="0" w:line="264" w:lineRule="auto"/>
            </w:pPr>
            <w:r>
              <w:rPr>
                <w:sz w:val="18"/>
              </w:rPr>
              <w:t>ServiceAccount/RBAC</w:t>
            </w:r>
          </w:p>
        </w:tc>
        <w:tc>
          <w:tcPr>
            <w:tcW w:type="dxa" w:w="3000"/>
            <w:tcMar>
              <w:top w:w="80" w:type="dxa"/>
              <w:start w:w="120" w:type="dxa"/>
              <w:bottom w:w="80" w:type="dxa"/>
              <w:end w:w="120" w:type="dxa"/>
            </w:tcMar>
            <w:vAlign w:val="top"/>
          </w:tcPr>
          <w:p>
            <w:pPr>
              <w:spacing w:after="0" w:line="264" w:lineRule="auto"/>
            </w:pPr>
            <w:r>
              <w:rPr>
                <w:sz w:val="18"/>
              </w:rPr>
              <w:t>Workload identity and permissions.</w:t>
            </w:r>
          </w:p>
        </w:tc>
        <w:tc>
          <w:tcPr>
            <w:tcW w:type="dxa" w:w="4910"/>
            <w:tcMar>
              <w:top w:w="80" w:type="dxa"/>
              <w:start w:w="120" w:type="dxa"/>
              <w:bottom w:w="80" w:type="dxa"/>
              <w:end w:w="120" w:type="dxa"/>
            </w:tcMar>
            <w:vAlign w:val="top"/>
          </w:tcPr>
          <w:p>
            <w:pPr>
              <w:spacing w:after="0" w:line="264" w:lineRule="auto"/>
            </w:pPr>
            <w:r>
              <w:rPr>
                <w:sz w:val="18"/>
              </w:rPr>
              <w:t>Scheduler receives read-only cluster access; optional live remediation RBAC is separate.</w:t>
            </w:r>
          </w:p>
        </w:tc>
      </w:tr>
    </w:tbl>
    <w:p>
      <w:pPr>
        <w:spacing w:after="0"/>
      </w:pPr>
    </w:p>
    <w:p>
      <w:pPr>
        <w:pStyle w:val="Heading2"/>
      </w:pPr>
      <w:r>
        <w:t>How the application authenticates</w:t>
      </w:r>
    </w:p>
    <w:p>
      <w:pPr>
        <w:numPr>
          <w:ilvl w:val="0"/>
          <w:numId w:val="10"/>
        </w:numPr>
        <w:spacing w:after="80" w:line="300" w:lineRule="auto"/>
      </w:pPr>
      <w:r>
        <w:rPr>
          <w:b/>
          <w:color w:val="0B2545"/>
        </w:rPr>
        <w:t xml:space="preserve">Local development: </w:t>
      </w:r>
      <w:r>
        <w:t>the Kubernetes client loads the project kubeconfig file and talks to the OpenShift API endpoint.</w:t>
      </w:r>
    </w:p>
    <w:p>
      <w:pPr>
        <w:numPr>
          <w:ilvl w:val="0"/>
          <w:numId w:val="10"/>
        </w:numPr>
        <w:spacing w:after="80" w:line="300" w:lineRule="auto"/>
      </w:pPr>
      <w:r>
        <w:rPr>
          <w:b/>
          <w:color w:val="0B2545"/>
        </w:rPr>
        <w:t xml:space="preserve">In OpenShift: </w:t>
      </w:r>
      <w:r>
        <w:t>the scheduler pod uses its ServiceAccount token and the in-cluster API endpoint.</w:t>
      </w:r>
    </w:p>
    <w:p>
      <w:pPr>
        <w:numPr>
          <w:ilvl w:val="0"/>
          <w:numId w:val="10"/>
        </w:numPr>
        <w:spacing w:after="80" w:line="300" w:lineRule="auto"/>
      </w:pPr>
      <w:r>
        <w:rPr>
          <w:b/>
          <w:color w:val="0B2545"/>
        </w:rPr>
        <w:t xml:space="preserve">Dashboard: </w:t>
      </w:r>
      <w:r>
        <w:t>does not need cluster credentials for read-only database views and therefore has ServiceAccount token automount disabled in the provided manifest.</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FF5D6"/>
          </w:tcPr>
          <w:p>
            <w:pPr>
              <w:spacing w:after="60"/>
            </w:pPr>
            <w:r>
              <w:rPr>
                <w:b/>
                <w:color w:val="9A6A00"/>
              </w:rPr>
              <w:t>Important operational distinction</w:t>
            </w:r>
          </w:p>
          <w:p>
            <w:pPr>
              <w:spacing w:after="0" w:line="276" w:lineRule="auto"/>
            </w:pPr>
            <w:r>
              <w:t>A Kubernetes Service exposes an application inside the cluster. An OpenShift Route makes an HTTP service reachable from a user’s browser. A localhost link is reachable only from the sender’s machine; a LAN address or Route is required for another approver.</w:t>
            </w:r>
          </w:p>
        </w:tc>
      </w:tr>
    </w:tbl>
    <w:p>
      <w:pPr>
        <w:spacing w:after="0"/>
      </w:pPr>
    </w:p>
    <w:p>
      <w:pPr>
        <w:pStyle w:val="Heading1"/>
      </w:pPr>
      <w:r>
        <w:t>4. System architecture</w:t>
      </w:r>
    </w:p>
    <w:tbl>
      <w:tblPr>
        <w:tblW w:type="dxa" w:w="9360"/>
        <w:jc w:val="center"/>
        <w:tblLayout w:type="fixed"/>
        <w:tblLook w:firstColumn="1" w:firstRow="1" w:lastColumn="0" w:lastRow="0" w:noHBand="0" w:noVBand="1" w:val="04A0"/>
        <w:tblInd w:w="120" w:type="dxa"/>
        <w:tblLayout w:type="fixed"/>
      </w:tblPr>
      <w:tblGrid>
        <w:gridCol w:w="1600"/>
        <w:gridCol w:w="3000"/>
        <w:gridCol w:w="4760"/>
      </w:tblGrid>
      <w:tr>
        <w:trPr>
          <w:tblHeader w:val="true"/>
          <w:cantSplit/>
        </w:trPr>
        <w:tc>
          <w:tcPr>
            <w:tcW w:type="dxa" w:w="1600"/>
            <w:tcMar>
              <w:top w:w="80" w:type="dxa"/>
              <w:start w:w="120" w:type="dxa"/>
              <w:bottom w:w="80" w:type="dxa"/>
              <w:end w:w="120" w:type="dxa"/>
            </w:tcMar>
            <w:shd w:fill="E8EEF5"/>
            <w:vAlign w:val="center"/>
          </w:tcPr>
          <w:p>
            <w:pPr>
              <w:spacing w:after="0"/>
            </w:pPr>
            <w:r>
              <w:rPr>
                <w:b/>
                <w:color w:val="0B2545"/>
                <w:sz w:val="18"/>
              </w:rPr>
              <w:t>Layer</w:t>
            </w:r>
          </w:p>
        </w:tc>
        <w:tc>
          <w:tcPr>
            <w:tcW w:type="dxa" w:w="3000"/>
            <w:tcMar>
              <w:top w:w="80" w:type="dxa"/>
              <w:start w:w="120" w:type="dxa"/>
              <w:bottom w:w="80" w:type="dxa"/>
              <w:end w:w="120" w:type="dxa"/>
            </w:tcMar>
            <w:shd w:fill="E8EEF5"/>
            <w:vAlign w:val="center"/>
          </w:tcPr>
          <w:p>
            <w:pPr>
              <w:spacing w:after="0"/>
            </w:pPr>
            <w:r>
              <w:rPr>
                <w:b/>
                <w:color w:val="0B2545"/>
                <w:sz w:val="18"/>
              </w:rPr>
              <w:t>Components</w:t>
            </w:r>
          </w:p>
        </w:tc>
        <w:tc>
          <w:tcPr>
            <w:tcW w:type="dxa" w:w="4760"/>
            <w:tcMar>
              <w:top w:w="80" w:type="dxa"/>
              <w:start w:w="120" w:type="dxa"/>
              <w:bottom w:w="80" w:type="dxa"/>
              <w:end w:w="120" w:type="dxa"/>
            </w:tcMar>
            <w:shd w:fill="E8EEF5"/>
            <w:vAlign w:val="center"/>
          </w:tcPr>
          <w:p>
            <w:pPr>
              <w:spacing w:after="0"/>
            </w:pPr>
            <w:r>
              <w:rPr>
                <w:b/>
                <w:color w:val="0B2545"/>
                <w:sz w:val="18"/>
              </w:rPr>
              <w:t>Responsibility</w:t>
            </w:r>
          </w:p>
        </w:tc>
      </w:tr>
      <w:tr>
        <w:trPr>
          <w:cantSplit/>
        </w:trPr>
        <w:tc>
          <w:tcPr>
            <w:tcW w:type="dxa" w:w="1600"/>
            <w:tcMar>
              <w:top w:w="80" w:type="dxa"/>
              <w:start w:w="120" w:type="dxa"/>
              <w:bottom w:w="80" w:type="dxa"/>
              <w:end w:w="120" w:type="dxa"/>
            </w:tcMar>
            <w:vAlign w:val="top"/>
          </w:tcPr>
          <w:p>
            <w:pPr>
              <w:spacing w:after="0" w:line="264" w:lineRule="auto"/>
            </w:pPr>
            <w:r>
              <w:rPr>
                <w:sz w:val="18"/>
              </w:rPr>
              <w:t>Orchestration</w:t>
            </w:r>
          </w:p>
        </w:tc>
        <w:tc>
          <w:tcPr>
            <w:tcW w:type="dxa" w:w="3000"/>
            <w:tcMar>
              <w:top w:w="80" w:type="dxa"/>
              <w:start w:w="120" w:type="dxa"/>
              <w:bottom w:w="80" w:type="dxa"/>
              <w:end w:w="120" w:type="dxa"/>
            </w:tcMar>
            <w:vAlign w:val="top"/>
          </w:tcPr>
          <w:p>
            <w:pPr>
              <w:spacing w:after="0" w:line="264" w:lineRule="auto"/>
            </w:pPr>
            <w:r>
              <w:rPr>
                <w:sz w:val="18"/>
              </w:rPr>
              <w:t>scheduler.py, APScheduler, LangGraph</w:t>
            </w:r>
          </w:p>
        </w:tc>
        <w:tc>
          <w:tcPr>
            <w:tcW w:type="dxa" w:w="4760"/>
            <w:tcMar>
              <w:top w:w="80" w:type="dxa"/>
              <w:start w:w="120" w:type="dxa"/>
              <w:bottom w:w="80" w:type="dxa"/>
              <w:end w:w="120" w:type="dxa"/>
            </w:tcMar>
            <w:vAlign w:val="top"/>
          </w:tcPr>
          <w:p>
            <w:pPr>
              <w:spacing w:after="0" w:line="264" w:lineRule="auto"/>
            </w:pPr>
            <w:r>
              <w:rPr>
                <w:sz w:val="18"/>
              </w:rPr>
              <w:t>Start cycles, execute the workflow, poll approved remediation, and write heartbeat.</w:t>
            </w:r>
          </w:p>
        </w:tc>
      </w:tr>
      <w:tr>
        <w:trPr>
          <w:cantSplit/>
        </w:trPr>
        <w:tc>
          <w:tcPr>
            <w:tcW w:type="dxa" w:w="1600"/>
            <w:tcMar>
              <w:top w:w="80" w:type="dxa"/>
              <w:start w:w="120" w:type="dxa"/>
              <w:bottom w:w="80" w:type="dxa"/>
              <w:end w:w="120" w:type="dxa"/>
            </w:tcMar>
            <w:vAlign w:val="top"/>
            <w:shd w:fill="FAFBFC"/>
          </w:tcPr>
          <w:p>
            <w:pPr>
              <w:spacing w:after="0" w:line="264" w:lineRule="auto"/>
            </w:pPr>
            <w:r>
              <w:rPr>
                <w:sz w:val="18"/>
              </w:rPr>
              <w:t>Collection</w:t>
            </w:r>
          </w:p>
        </w:tc>
        <w:tc>
          <w:tcPr>
            <w:tcW w:type="dxa" w:w="3000"/>
            <w:tcMar>
              <w:top w:w="80" w:type="dxa"/>
              <w:start w:w="120" w:type="dxa"/>
              <w:bottom w:w="80" w:type="dxa"/>
              <w:end w:w="120" w:type="dxa"/>
            </w:tcMar>
            <w:vAlign w:val="top"/>
            <w:shd w:fill="FAFBFC"/>
          </w:tcPr>
          <w:p>
            <w:pPr>
              <w:spacing w:after="0" w:line="264" w:lineRule="auto"/>
            </w:pPr>
            <w:r>
              <w:rPr>
                <w:sz w:val="18"/>
              </w:rPr>
              <w:t>agent/tools.py, collector nodes</w:t>
            </w:r>
          </w:p>
        </w:tc>
        <w:tc>
          <w:tcPr>
            <w:tcW w:type="dxa" w:w="4760"/>
            <w:tcMar>
              <w:top w:w="80" w:type="dxa"/>
              <w:start w:w="120" w:type="dxa"/>
              <w:bottom w:w="80" w:type="dxa"/>
              <w:end w:w="120" w:type="dxa"/>
            </w:tcMar>
            <w:vAlign w:val="top"/>
            <w:shd w:fill="FAFBFC"/>
          </w:tcPr>
          <w:p>
            <w:pPr>
              <w:spacing w:after="0" w:line="264" w:lineRule="auto"/>
            </w:pPr>
            <w:r>
              <w:rPr>
                <w:sz w:val="18"/>
              </w:rPr>
              <w:t>Read OpenShift/Kubernetes APIs and normalize the observations.</w:t>
            </w:r>
          </w:p>
        </w:tc>
      </w:tr>
      <w:tr>
        <w:trPr>
          <w:cantSplit/>
        </w:trPr>
        <w:tc>
          <w:tcPr>
            <w:tcW w:type="dxa" w:w="1600"/>
            <w:tcMar>
              <w:top w:w="80" w:type="dxa"/>
              <w:start w:w="120" w:type="dxa"/>
              <w:bottom w:w="80" w:type="dxa"/>
              <w:end w:w="120" w:type="dxa"/>
            </w:tcMar>
            <w:vAlign w:val="top"/>
          </w:tcPr>
          <w:p>
            <w:pPr>
              <w:spacing w:after="0" w:line="264" w:lineRule="auto"/>
            </w:pPr>
            <w:r>
              <w:rPr>
                <w:sz w:val="18"/>
              </w:rPr>
              <w:t>Intelligence</w:t>
            </w:r>
          </w:p>
        </w:tc>
        <w:tc>
          <w:tcPr>
            <w:tcW w:type="dxa" w:w="3000"/>
            <w:tcMar>
              <w:top w:w="80" w:type="dxa"/>
              <w:start w:w="120" w:type="dxa"/>
              <w:bottom w:w="80" w:type="dxa"/>
              <w:end w:w="120" w:type="dxa"/>
            </w:tcMar>
            <w:vAlign w:val="top"/>
          </w:tcPr>
          <w:p>
            <w:pPr>
              <w:spacing w:after="0" w:line="264" w:lineRule="auto"/>
            </w:pPr>
            <w:r>
              <w:rPr>
                <w:sz w:val="18"/>
              </w:rPr>
              <w:t>Groq LLM, structured chains, LlamaIndex RAG</w:t>
            </w:r>
          </w:p>
        </w:tc>
        <w:tc>
          <w:tcPr>
            <w:tcW w:type="dxa" w:w="4760"/>
            <w:tcMar>
              <w:top w:w="80" w:type="dxa"/>
              <w:start w:w="120" w:type="dxa"/>
              <w:bottom w:w="80" w:type="dxa"/>
              <w:end w:w="120" w:type="dxa"/>
            </w:tcMar>
            <w:vAlign w:val="top"/>
          </w:tcPr>
          <w:p>
            <w:pPr>
              <w:spacing w:after="0" w:line="264" w:lineRule="auto"/>
            </w:pPr>
            <w:r>
              <w:rPr>
                <w:sz w:val="18"/>
              </w:rPr>
              <w:t>Classify health, explain failures, retrieve or generate resolutions.</w:t>
            </w:r>
          </w:p>
        </w:tc>
      </w:tr>
      <w:tr>
        <w:trPr>
          <w:cantSplit/>
        </w:trPr>
        <w:tc>
          <w:tcPr>
            <w:tcW w:type="dxa" w:w="1600"/>
            <w:tcMar>
              <w:top w:w="80" w:type="dxa"/>
              <w:start w:w="120" w:type="dxa"/>
              <w:bottom w:w="80" w:type="dxa"/>
              <w:end w:w="120" w:type="dxa"/>
            </w:tcMar>
            <w:vAlign w:val="top"/>
            <w:shd w:fill="FAFBFC"/>
          </w:tcPr>
          <w:p>
            <w:pPr>
              <w:spacing w:after="0" w:line="264" w:lineRule="auto"/>
            </w:pPr>
            <w:r>
              <w:rPr>
                <w:sz w:val="18"/>
              </w:rPr>
              <w:t>Persistence</w:t>
            </w:r>
          </w:p>
        </w:tc>
        <w:tc>
          <w:tcPr>
            <w:tcW w:type="dxa" w:w="3000"/>
            <w:tcMar>
              <w:top w:w="80" w:type="dxa"/>
              <w:start w:w="120" w:type="dxa"/>
              <w:bottom w:w="80" w:type="dxa"/>
              <w:end w:w="120" w:type="dxa"/>
            </w:tcMar>
            <w:vAlign w:val="top"/>
            <w:shd w:fill="FAFBFC"/>
          </w:tcPr>
          <w:p>
            <w:pPr>
              <w:spacing w:after="0" w:line="264" w:lineRule="auto"/>
            </w:pPr>
            <w:r>
              <w:rPr>
                <w:sz w:val="18"/>
              </w:rPr>
              <w:t>SQLAlchemy, PostgreSQL, pgvector</w:t>
            </w:r>
          </w:p>
        </w:tc>
        <w:tc>
          <w:tcPr>
            <w:tcW w:type="dxa" w:w="4760"/>
            <w:tcMar>
              <w:top w:w="80" w:type="dxa"/>
              <w:start w:w="120" w:type="dxa"/>
              <w:bottom w:w="80" w:type="dxa"/>
              <w:end w:w="120" w:type="dxa"/>
            </w:tcMar>
            <w:vAlign w:val="top"/>
            <w:shd w:fill="FAFBFC"/>
          </w:tcPr>
          <w:p>
            <w:pPr>
              <w:spacing w:after="0" w:line="264" w:lineRule="auto"/>
            </w:pPr>
            <w:r>
              <w:rPr>
                <w:sz w:val="18"/>
              </w:rPr>
              <w:t>Store operational history, vectors, reports, and HITL audit records.</w:t>
            </w:r>
          </w:p>
        </w:tc>
      </w:tr>
      <w:tr>
        <w:trPr>
          <w:cantSplit/>
        </w:trPr>
        <w:tc>
          <w:tcPr>
            <w:tcW w:type="dxa" w:w="1600"/>
            <w:tcMar>
              <w:top w:w="80" w:type="dxa"/>
              <w:start w:w="120" w:type="dxa"/>
              <w:bottom w:w="80" w:type="dxa"/>
              <w:end w:w="120" w:type="dxa"/>
            </w:tcMar>
            <w:vAlign w:val="top"/>
          </w:tcPr>
          <w:p>
            <w:pPr>
              <w:spacing w:after="0" w:line="264" w:lineRule="auto"/>
            </w:pPr>
            <w:r>
              <w:rPr>
                <w:sz w:val="18"/>
              </w:rPr>
              <w:t>Communication</w:t>
            </w:r>
          </w:p>
        </w:tc>
        <w:tc>
          <w:tcPr>
            <w:tcW w:type="dxa" w:w="3000"/>
            <w:tcMar>
              <w:top w:w="80" w:type="dxa"/>
              <w:start w:w="120" w:type="dxa"/>
              <w:bottom w:w="80" w:type="dxa"/>
              <w:end w:w="120" w:type="dxa"/>
            </w:tcMar>
            <w:vAlign w:val="top"/>
          </w:tcPr>
          <w:p>
            <w:pPr>
              <w:spacing w:after="0" w:line="264" w:lineRule="auto"/>
            </w:pPr>
            <w:r>
              <w:rPr>
                <w:sz w:val="18"/>
              </w:rPr>
              <w:t>HTML reporter, SMTP/SendGrid, Google Calendar</w:t>
            </w:r>
          </w:p>
        </w:tc>
        <w:tc>
          <w:tcPr>
            <w:tcW w:type="dxa" w:w="4760"/>
            <w:tcMar>
              <w:top w:w="80" w:type="dxa"/>
              <w:start w:w="120" w:type="dxa"/>
              <w:bottom w:w="80" w:type="dxa"/>
              <w:end w:w="120" w:type="dxa"/>
            </w:tcMar>
            <w:vAlign w:val="top"/>
          </w:tcPr>
          <w:p>
            <w:pPr>
              <w:spacing w:after="0" w:line="264" w:lineRule="auto"/>
            </w:pPr>
            <w:r>
              <w:rPr>
                <w:sz w:val="18"/>
              </w:rPr>
              <w:t>Email reports/approval notifications and create escalation meetings.</w:t>
            </w:r>
          </w:p>
        </w:tc>
      </w:tr>
      <w:tr>
        <w:trPr>
          <w:cantSplit/>
        </w:trPr>
        <w:tc>
          <w:tcPr>
            <w:tcW w:type="dxa" w:w="1600"/>
            <w:tcMar>
              <w:top w:w="80" w:type="dxa"/>
              <w:start w:w="120" w:type="dxa"/>
              <w:bottom w:w="80" w:type="dxa"/>
              <w:end w:w="120" w:type="dxa"/>
            </w:tcMar>
            <w:vAlign w:val="top"/>
            <w:shd w:fill="FAFBFC"/>
          </w:tcPr>
          <w:p>
            <w:pPr>
              <w:spacing w:after="0" w:line="264" w:lineRule="auto"/>
            </w:pPr>
            <w:r>
              <w:rPr>
                <w:sz w:val="18"/>
              </w:rPr>
              <w:t>Control surface</w:t>
            </w:r>
          </w:p>
        </w:tc>
        <w:tc>
          <w:tcPr>
            <w:tcW w:type="dxa" w:w="3000"/>
            <w:tcMar>
              <w:top w:w="80" w:type="dxa"/>
              <w:start w:w="120" w:type="dxa"/>
              <w:bottom w:w="80" w:type="dxa"/>
              <w:end w:w="120" w:type="dxa"/>
            </w:tcMar>
            <w:vAlign w:val="top"/>
            <w:shd w:fill="FAFBFC"/>
          </w:tcPr>
          <w:p>
            <w:pPr>
              <w:spacing w:after="0" w:line="264" w:lineRule="auto"/>
            </w:pPr>
            <w:r>
              <w:rPr>
                <w:sz w:val="18"/>
              </w:rPr>
              <w:t>Streamlit; optional FastAPI/Jinja dashboard</w:t>
            </w:r>
          </w:p>
        </w:tc>
        <w:tc>
          <w:tcPr>
            <w:tcW w:type="dxa" w:w="4760"/>
            <w:tcMar>
              <w:top w:w="80" w:type="dxa"/>
              <w:start w:w="120" w:type="dxa"/>
              <w:bottom w:w="80" w:type="dxa"/>
              <w:end w:w="120" w:type="dxa"/>
            </w:tcMar>
            <w:vAlign w:val="top"/>
            <w:shd w:fill="FAFBFC"/>
          </w:tcPr>
          <w:p>
            <w:pPr>
              <w:spacing w:after="0" w:line="264" w:lineRule="auto"/>
            </w:pPr>
            <w:r>
              <w:rPr>
                <w:sz w:val="18"/>
              </w:rPr>
              <w:t>Present history and accept authorized approval/rejection decisions.</w:t>
            </w:r>
          </w:p>
        </w:tc>
      </w:tr>
      <w:tr>
        <w:trPr>
          <w:cantSplit/>
        </w:trPr>
        <w:tc>
          <w:tcPr>
            <w:tcW w:type="dxa" w:w="1600"/>
            <w:tcMar>
              <w:top w:w="80" w:type="dxa"/>
              <w:start w:w="120" w:type="dxa"/>
              <w:bottom w:w="80" w:type="dxa"/>
              <w:end w:w="120" w:type="dxa"/>
            </w:tcMar>
            <w:vAlign w:val="top"/>
          </w:tcPr>
          <w:p>
            <w:pPr>
              <w:spacing w:after="0" w:line="264" w:lineRule="auto"/>
            </w:pPr>
            <w:r>
              <w:rPr>
                <w:sz w:val="18"/>
              </w:rPr>
              <w:t>Platform</w:t>
            </w:r>
          </w:p>
        </w:tc>
        <w:tc>
          <w:tcPr>
            <w:tcW w:type="dxa" w:w="3000"/>
            <w:tcMar>
              <w:top w:w="80" w:type="dxa"/>
              <w:start w:w="120" w:type="dxa"/>
              <w:bottom w:w="80" w:type="dxa"/>
              <w:end w:w="120" w:type="dxa"/>
            </w:tcMar>
            <w:vAlign w:val="top"/>
          </w:tcPr>
          <w:p>
            <w:pPr>
              <w:spacing w:after="0" w:line="264" w:lineRule="auto"/>
            </w:pPr>
            <w:r>
              <w:rPr>
                <w:sz w:val="18"/>
              </w:rPr>
              <w:t>Docker, Compose, Kubernetes/OpenShift manifests</w:t>
            </w:r>
          </w:p>
        </w:tc>
        <w:tc>
          <w:tcPr>
            <w:tcW w:type="dxa" w:w="4760"/>
            <w:tcMar>
              <w:top w:w="80" w:type="dxa"/>
              <w:start w:w="120" w:type="dxa"/>
              <w:bottom w:w="80" w:type="dxa"/>
              <w:end w:w="120" w:type="dxa"/>
            </w:tcMar>
            <w:vAlign w:val="top"/>
          </w:tcPr>
          <w:p>
            <w:pPr>
              <w:spacing w:after="0" w:line="264" w:lineRule="auto"/>
            </w:pPr>
            <w:r>
              <w:rPr>
                <w:sz w:val="18"/>
              </w:rPr>
              <w:t>Package, run, configure, secure, and expose the services.</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20" w:type="dxa"/>
              <w:start w:w="160" w:type="dxa"/>
              <w:bottom w:w="120" w:type="dxa"/>
              <w:end w:w="160" w:type="dxa"/>
            </w:tcMar>
            <w:shd w:fill="F6F8FA"/>
          </w:tcPr>
          <w:p>
            <w:pPr>
              <w:spacing w:after="0" w:line="240" w:lineRule="auto"/>
            </w:pPr>
            <w:r>
              <w:rPr>
                <w:rFonts w:ascii="Liberation Mono" w:hAnsi="Liberation Mono"/>
                <w:color w:val="0B2545"/>
                <w:sz w:val="17"/>
              </w:rPr>
              <w:t>OpenShift API</w:t>
            </w:r>
            <w:r>
              <w:br/>
            </w:r>
            <w:r>
              <w:rPr>
                <w:rFonts w:ascii="Liberation Mono" w:hAnsi="Liberation Mono"/>
                <w:color w:val="0B2545"/>
                <w:sz w:val="17"/>
              </w:rPr>
              <w:t xml:space="preserve">      │</w:t>
            </w:r>
            <w:r>
              <w:br/>
            </w:r>
            <w:r>
              <w:rPr>
                <w:rFonts w:ascii="Liberation Mono" w:hAnsi="Liberation Mono"/>
                <w:color w:val="0B2545"/>
                <w:sz w:val="17"/>
              </w:rPr>
              <w:t xml:space="preserve">      ├── 8 parallel collectors ──► aggregate ──► AI analysis</w:t>
            </w:r>
            <w:r>
              <w:br/>
            </w:r>
            <w:r>
              <w:rPr>
                <w:rFonts w:ascii="Liberation Mono" w:hAnsi="Liberation Mono"/>
                <w:color w:val="0B2545"/>
                <w:sz w:val="17"/>
              </w:rPr>
              <w:t xml:space="preserve">      │                                         │</w:t>
            </w:r>
            <w:r>
              <w:br/>
            </w:r>
            <w:r>
              <w:rPr>
                <w:rFonts w:ascii="Liberation Mono" w:hAnsi="Liberation Mono"/>
                <w:color w:val="0B2545"/>
                <w:sz w:val="17"/>
              </w:rPr>
              <w:t xml:space="preserve">      │                                         ├── RAG / resolution</w:t>
            </w:r>
            <w:r>
              <w:br/>
            </w:r>
            <w:r>
              <w:rPr>
                <w:rFonts w:ascii="Liberation Mono" w:hAnsi="Liberation Mono"/>
                <w:color w:val="0B2545"/>
                <w:sz w:val="17"/>
              </w:rPr>
              <w:t xml:space="preserve">      │                                         ├── HITL proposal</w:t>
            </w:r>
            <w:r>
              <w:br/>
            </w:r>
            <w:r>
              <w:rPr>
                <w:rFonts w:ascii="Liberation Mono" w:hAnsi="Liberation Mono"/>
                <w:color w:val="0B2545"/>
                <w:sz w:val="17"/>
              </w:rPr>
              <w:t xml:space="preserve">      │                                         ├── HTML email</w:t>
            </w:r>
            <w:r>
              <w:br/>
            </w:r>
            <w:r>
              <w:rPr>
                <w:rFonts w:ascii="Liberation Mono" w:hAnsi="Liberation Mono"/>
                <w:color w:val="0B2545"/>
                <w:sz w:val="17"/>
              </w:rPr>
              <w:t xml:space="preserve">      │                                         ├── Calendar + Meet escalation</w:t>
            </w:r>
            <w:r>
              <w:br/>
            </w:r>
            <w:r>
              <w:rPr>
                <w:rFonts w:ascii="Liberation Mono" w:hAnsi="Liberation Mono"/>
                <w:color w:val="0B2545"/>
                <w:sz w:val="17"/>
              </w:rPr>
              <w:t xml:space="preserve">      │                                         └── PostgreSQL history</w:t>
            </w:r>
            <w:r>
              <w:br/>
            </w:r>
            <w:r>
              <w:rPr>
                <w:rFonts w:ascii="Liberation Mono" w:hAnsi="Liberation Mono"/>
                <w:color w:val="0B2545"/>
                <w:sz w:val="17"/>
              </w:rPr>
              <w:t xml:space="preserve">      │</w:t>
            </w:r>
            <w:r>
              <w:br/>
            </w:r>
            <w:r>
              <w:rPr>
                <w:rFonts w:ascii="Liberation Mono" w:hAnsi="Liberation Mono"/>
                <w:color w:val="0B2545"/>
                <w:sz w:val="17"/>
              </w:rPr>
              <w:t>Scheduler ── APScheduler + heartbeat        Streamlit dashboard ◄── PostgreSQL</w:t>
            </w:r>
          </w:p>
        </w:tc>
      </w:tr>
    </w:tbl>
    <w:p>
      <w:pPr>
        <w:spacing w:after="0"/>
      </w:pPr>
    </w:p>
    <w:p>
      <w:pPr>
        <w:pStyle w:val="Heading1"/>
      </w:pPr>
      <w:r>
        <w:t>5. End-to-end runtime flow</w:t>
      </w:r>
    </w:p>
    <w:p>
      <w:pPr>
        <w:numPr>
          <w:ilvl w:val="0"/>
          <w:numId w:val="13"/>
        </w:numPr>
        <w:spacing w:after="80" w:line="300" w:lineRule="auto"/>
      </w:pPr>
      <w:r>
        <w:t>Application configuration is loaded and validated. Invalid combinations, such as live HITL execution without HITL enabled or without an approval secret, fail fast.</w:t>
      </w:r>
    </w:p>
    <w:p>
      <w:pPr>
        <w:numPr>
          <w:ilvl w:val="0"/>
          <w:numId w:val="13"/>
        </w:numPr>
        <w:spacing w:after="80" w:line="300" w:lineRule="auto"/>
      </w:pPr>
      <w:r>
        <w:t>Database connectivity and required tables are initialized. External integrations are checked according to their enablement flags.</w:t>
      </w:r>
    </w:p>
    <w:p>
      <w:pPr>
        <w:numPr>
          <w:ilvl w:val="0"/>
          <w:numId w:val="13"/>
        </w:numPr>
        <w:spacing w:after="80" w:line="300" w:lineRule="auto"/>
      </w:pPr>
      <w:r>
        <w:t>The scheduler runs one monitoring cycle immediately at startup, then schedules subsequent cycles every configured interval (currently 15 minutes).</w:t>
      </w:r>
    </w:p>
    <w:p>
      <w:pPr>
        <w:numPr>
          <w:ilvl w:val="0"/>
          <w:numId w:val="13"/>
        </w:numPr>
        <w:spacing w:after="80" w:line="300" w:lineRule="auto"/>
      </w:pPr>
      <w:r>
        <w:t>Eight collector nodes execute in parallel: nodes, ClusterOperators, MachineConfigPools, etcd, PVCs, pods, certificates, and CP4I resources.</w:t>
      </w:r>
    </w:p>
    <w:p>
      <w:pPr>
        <w:numPr>
          <w:ilvl w:val="0"/>
          <w:numId w:val="13"/>
        </w:numPr>
        <w:spacing w:after="80" w:line="300" w:lineRule="auto"/>
      </w:pPr>
      <w:r>
        <w:t>The aggregate node waits for all collectors and creates a combined snapshot, preserving collection errors so partial visibility is explicit.</w:t>
      </w:r>
    </w:p>
    <w:p>
      <w:pPr>
        <w:numPr>
          <w:ilvl w:val="0"/>
          <w:numId w:val="13"/>
        </w:numPr>
        <w:spacing w:after="80" w:line="300" w:lineRule="auto"/>
      </w:pPr>
      <w:r>
        <w:t>The analyze node combines deterministic observations with a temperature-zero, structured LLM response to decide overall status, summary, and failures.</w:t>
      </w:r>
    </w:p>
    <w:p>
      <w:pPr>
        <w:numPr>
          <w:ilvl w:val="0"/>
          <w:numId w:val="13"/>
        </w:numPr>
        <w:spacing w:after="80" w:line="300" w:lineRule="auto"/>
      </w:pPr>
      <w:r>
        <w:t>If failures exist, the resolve node generates root-cause hypotheses, steps, commands, and references. If no failures exist, the graph proceeds directly toward knowledge handling.</w:t>
      </w:r>
    </w:p>
    <w:p>
      <w:pPr>
        <w:numPr>
          <w:ilvl w:val="0"/>
          <w:numId w:val="13"/>
        </w:numPr>
        <w:spacing w:after="80" w:line="300" w:lineRule="auto"/>
      </w:pPr>
      <w:r>
        <w:t>The RAG node queries pgvector for similar incidents. A result at or above the 0.85 similarity threshold can be reused; otherwise the newly generated resolution can become future knowledge.</w:t>
      </w:r>
    </w:p>
    <w:p>
      <w:pPr>
        <w:numPr>
          <w:ilvl w:val="0"/>
          <w:numId w:val="13"/>
        </w:numPr>
        <w:spacing w:after="80" w:line="300" w:lineRule="auto"/>
      </w:pPr>
      <w:r>
        <w:t>The remediation-proposal node evaluates whether a failure matches the narrow supported and allowlisted restart scenario; it creates a pending approval request rather than changing the cluster.</w:t>
      </w:r>
    </w:p>
    <w:p>
      <w:pPr>
        <w:numPr>
          <w:ilvl w:val="0"/>
          <w:numId w:val="13"/>
        </w:numPr>
        <w:spacing w:after="80" w:line="300" w:lineRule="auto"/>
      </w:pPr>
      <w:r>
        <w:t>The report node creates an inline-CSS HTML report that renders safely in Gmail and other email clients.</w:t>
      </w:r>
    </w:p>
    <w:p>
      <w:pPr>
        <w:numPr>
          <w:ilvl w:val="0"/>
          <w:numId w:val="13"/>
        </w:numPr>
        <w:spacing w:after="80" w:line="300" w:lineRule="auto"/>
      </w:pPr>
      <w:r>
        <w:t>The escalation node applies scope, severity, persistence, ownership, deduplication, and credential checks before creating a Google Calendar event with a Meet link.</w:t>
      </w:r>
    </w:p>
    <w:p>
      <w:pPr>
        <w:numPr>
          <w:ilvl w:val="0"/>
          <w:numId w:val="13"/>
        </w:numPr>
        <w:spacing w:after="80" w:line="300" w:lineRule="auto"/>
      </w:pPr>
      <w:r>
        <w:t>The email node sends the operational report; delivery failures are recorded without hiding the monitoring result.</w:t>
      </w:r>
    </w:p>
    <w:p>
      <w:pPr>
        <w:numPr>
          <w:ilvl w:val="0"/>
          <w:numId w:val="13"/>
        </w:numPr>
        <w:spacing w:after="80" w:line="300" w:lineRule="auto"/>
      </w:pPr>
      <w:r>
        <w:t>The save node persists the run, failures, resolutions, raw snapshot, collection errors, report HTML, and notification result.</w:t>
      </w:r>
    </w:p>
    <w:p>
      <w:pPr>
        <w:numPr>
          <w:ilvl w:val="0"/>
          <w:numId w:val="13"/>
        </w:numPr>
        <w:spacing w:after="80" w:line="300" w:lineRule="auto"/>
      </w:pPr>
      <w:r>
        <w:t>Every 30 seconds, a separate scheduler job polls approved remediation requests. Dry-run requests record a simulation; live requests execute only after every safety gate passes.</w:t>
      </w:r>
    </w:p>
    <w:p>
      <w:pPr>
        <w:pStyle w:val="Heading2"/>
      </w:pPr>
      <w:r>
        <w:t>Failure handling philosophy</w:t>
      </w:r>
    </w:p>
    <w:p>
      <w:pPr>
        <w:numPr>
          <w:ilvl w:val="0"/>
          <w:numId w:val="10"/>
        </w:numPr>
        <w:spacing w:after="80" w:line="300" w:lineRule="auto"/>
      </w:pPr>
      <w:r>
        <w:t>A failed collector does not silently become a healthy result. The error is retained in collection_errors and influences run status.</w:t>
      </w:r>
    </w:p>
    <w:p>
      <w:pPr>
        <w:numPr>
          <w:ilvl w:val="0"/>
          <w:numId w:val="10"/>
        </w:numPr>
        <w:spacing w:after="80" w:line="300" w:lineRule="auto"/>
      </w:pPr>
      <w:r>
        <w:t>LLM parsing and transient calls use validation/retry behavior with fallback handling so the pipeline can produce a controlled result.</w:t>
      </w:r>
    </w:p>
    <w:p>
      <w:pPr>
        <w:numPr>
          <w:ilvl w:val="0"/>
          <w:numId w:val="10"/>
        </w:numPr>
        <w:spacing w:after="80" w:line="300" w:lineRule="auto"/>
      </w:pPr>
      <w:r>
        <w:t>Email or Calendar failure is observable in logs and stored metadata; it does not erase the incident analysis.</w:t>
      </w:r>
    </w:p>
    <w:p>
      <w:pPr>
        <w:numPr>
          <w:ilvl w:val="0"/>
          <w:numId w:val="10"/>
        </w:numPr>
        <w:spacing w:after="80" w:line="300" w:lineRule="auto"/>
      </w:pPr>
      <w:r>
        <w:t>A rejected, unauthorized, expired, or otherwise unsafe remediation request never reaches the cluster execution function.</w:t>
      </w:r>
    </w:p>
    <w:p>
      <w:pPr>
        <w:pStyle w:val="Heading1"/>
      </w:pPr>
      <w:r>
        <w:t>6. LangGraph agent design</w:t>
      </w:r>
    </w:p>
    <w:p>
      <w:r>
        <w:t>The graph contains 17 named nodes: eight collectors plus aggregate, analyze, resolve, RAG, remediation proposal, report building, escalation, email, and persistence. START fans out to all collectors; their outputs fan in at aggregate. Conditional routing skips resolution generation when no failures exist, but the RAG stage remains in the common path.</w:t>
      </w:r>
    </w:p>
    <w:tbl>
      <w:tblPr>
        <w:tblW w:type="dxa" w:w="9360"/>
        <w:jc w:val="center"/>
        <w:tblLayout w:type="fixed"/>
        <w:tblLook w:firstColumn="1" w:firstRow="1" w:lastColumn="0" w:lastRow="0" w:noHBand="0" w:noVBand="1" w:val="04A0"/>
        <w:tblInd w:w="120" w:type="dxa"/>
        <w:tblLayout w:type="fixed"/>
      </w:tblPr>
      <w:tblGrid>
        <w:gridCol w:w="1400"/>
        <w:gridCol w:w="3900"/>
        <w:gridCol w:w="4060"/>
      </w:tblGrid>
      <w:tr>
        <w:trPr>
          <w:tblHeader w:val="true"/>
          <w:cantSplit/>
        </w:trPr>
        <w:tc>
          <w:tcPr>
            <w:tcW w:type="dxa" w:w="1400"/>
            <w:tcMar>
              <w:top w:w="80" w:type="dxa"/>
              <w:start w:w="120" w:type="dxa"/>
              <w:bottom w:w="80" w:type="dxa"/>
              <w:end w:w="120" w:type="dxa"/>
            </w:tcMar>
            <w:shd w:fill="E8EEF5"/>
            <w:vAlign w:val="center"/>
          </w:tcPr>
          <w:p>
            <w:pPr>
              <w:spacing w:after="0"/>
            </w:pPr>
            <w:r>
              <w:rPr>
                <w:b/>
                <w:color w:val="0B2545"/>
                <w:sz w:val="17"/>
              </w:rPr>
              <w:t>Stage</w:t>
            </w:r>
          </w:p>
        </w:tc>
        <w:tc>
          <w:tcPr>
            <w:tcW w:type="dxa" w:w="3900"/>
            <w:tcMar>
              <w:top w:w="80" w:type="dxa"/>
              <w:start w:w="120" w:type="dxa"/>
              <w:bottom w:w="80" w:type="dxa"/>
              <w:end w:w="120" w:type="dxa"/>
            </w:tcMar>
            <w:shd w:fill="E8EEF5"/>
            <w:vAlign w:val="center"/>
          </w:tcPr>
          <w:p>
            <w:pPr>
              <w:spacing w:after="0"/>
            </w:pPr>
            <w:r>
              <w:rPr>
                <w:b/>
                <w:color w:val="0B2545"/>
                <w:sz w:val="17"/>
              </w:rPr>
              <w:t>Node(s)</w:t>
            </w:r>
          </w:p>
        </w:tc>
        <w:tc>
          <w:tcPr>
            <w:tcW w:type="dxa" w:w="4060"/>
            <w:tcMar>
              <w:top w:w="80" w:type="dxa"/>
              <w:start w:w="120" w:type="dxa"/>
              <w:bottom w:w="80" w:type="dxa"/>
              <w:end w:w="120" w:type="dxa"/>
            </w:tcMar>
            <w:shd w:fill="E8EEF5"/>
            <w:vAlign w:val="center"/>
          </w:tcPr>
          <w:p>
            <w:pPr>
              <w:spacing w:after="0"/>
            </w:pPr>
            <w:r>
              <w:rPr>
                <w:b/>
                <w:color w:val="0B2545"/>
                <w:sz w:val="17"/>
              </w:rPr>
              <w:t>Input → output</w:t>
            </w:r>
          </w:p>
        </w:tc>
      </w:tr>
      <w:tr>
        <w:trPr>
          <w:cantSplit/>
        </w:trPr>
        <w:tc>
          <w:tcPr>
            <w:tcW w:type="dxa" w:w="1400"/>
            <w:tcMar>
              <w:top w:w="80" w:type="dxa"/>
              <w:start w:w="120" w:type="dxa"/>
              <w:bottom w:w="80" w:type="dxa"/>
              <w:end w:w="120" w:type="dxa"/>
            </w:tcMar>
            <w:vAlign w:val="top"/>
          </w:tcPr>
          <w:p>
            <w:pPr>
              <w:spacing w:after="0" w:line="264" w:lineRule="auto"/>
            </w:pPr>
            <w:r>
              <w:rPr>
                <w:sz w:val="17"/>
              </w:rPr>
              <w:t>Fan-out</w:t>
            </w:r>
          </w:p>
        </w:tc>
        <w:tc>
          <w:tcPr>
            <w:tcW w:type="dxa" w:w="3900"/>
            <w:tcMar>
              <w:top w:w="80" w:type="dxa"/>
              <w:start w:w="120" w:type="dxa"/>
              <w:bottom w:w="80" w:type="dxa"/>
              <w:end w:w="120" w:type="dxa"/>
            </w:tcMar>
            <w:vAlign w:val="top"/>
          </w:tcPr>
          <w:p>
            <w:pPr>
              <w:spacing w:after="0" w:line="264" w:lineRule="auto"/>
            </w:pPr>
            <w:r>
              <w:rPr>
                <w:sz w:val="17"/>
              </w:rPr>
              <w:t>collect_nodes_node; collect_operators_node; collect_mcp_node; collect_etcd_node; collect_pvcs_node; collect_pods_node; collect_certs_node; collect_cp4i_node</w:t>
            </w:r>
          </w:p>
        </w:tc>
        <w:tc>
          <w:tcPr>
            <w:tcW w:type="dxa" w:w="4060"/>
            <w:tcMar>
              <w:top w:w="80" w:type="dxa"/>
              <w:start w:w="120" w:type="dxa"/>
              <w:bottom w:w="80" w:type="dxa"/>
              <w:end w:w="120" w:type="dxa"/>
            </w:tcMar>
            <w:vAlign w:val="top"/>
          </w:tcPr>
          <w:p>
            <w:pPr>
              <w:spacing w:after="0" w:line="264" w:lineRule="auto"/>
            </w:pPr>
            <w:r>
              <w:rPr>
                <w:sz w:val="17"/>
              </w:rPr>
              <w:t>Cluster client/config → normalized collector result</w:t>
            </w:r>
          </w:p>
        </w:tc>
      </w:tr>
      <w:tr>
        <w:trPr>
          <w:cantSplit/>
        </w:trPr>
        <w:tc>
          <w:tcPr>
            <w:tcW w:type="dxa" w:w="1400"/>
            <w:tcMar>
              <w:top w:w="80" w:type="dxa"/>
              <w:start w:w="120" w:type="dxa"/>
              <w:bottom w:w="80" w:type="dxa"/>
              <w:end w:w="120" w:type="dxa"/>
            </w:tcMar>
            <w:vAlign w:val="top"/>
            <w:shd w:fill="FAFBFC"/>
          </w:tcPr>
          <w:p>
            <w:pPr>
              <w:spacing w:after="0" w:line="264" w:lineRule="auto"/>
            </w:pPr>
            <w:r>
              <w:rPr>
                <w:sz w:val="17"/>
              </w:rPr>
              <w:t>Fan-in</w:t>
            </w:r>
          </w:p>
        </w:tc>
        <w:tc>
          <w:tcPr>
            <w:tcW w:type="dxa" w:w="3900"/>
            <w:tcMar>
              <w:top w:w="80" w:type="dxa"/>
              <w:start w:w="120" w:type="dxa"/>
              <w:bottom w:w="80" w:type="dxa"/>
              <w:end w:w="120" w:type="dxa"/>
            </w:tcMar>
            <w:vAlign w:val="top"/>
            <w:shd w:fill="FAFBFC"/>
          </w:tcPr>
          <w:p>
            <w:pPr>
              <w:spacing w:after="0" w:line="264" w:lineRule="auto"/>
            </w:pPr>
            <w:r>
              <w:rPr>
                <w:sz w:val="17"/>
              </w:rPr>
              <w:t>aggregate_node</w:t>
            </w:r>
          </w:p>
        </w:tc>
        <w:tc>
          <w:tcPr>
            <w:tcW w:type="dxa" w:w="4060"/>
            <w:tcMar>
              <w:top w:w="80" w:type="dxa"/>
              <w:start w:w="120" w:type="dxa"/>
              <w:bottom w:w="80" w:type="dxa"/>
              <w:end w:w="120" w:type="dxa"/>
            </w:tcMar>
            <w:vAlign w:val="top"/>
            <w:shd w:fill="FAFBFC"/>
          </w:tcPr>
          <w:p>
            <w:pPr>
              <w:spacing w:after="0" w:line="264" w:lineRule="auto"/>
            </w:pPr>
            <w:r>
              <w:rPr>
                <w:sz w:val="17"/>
              </w:rPr>
              <w:t>Eight collector results → one raw snapshot and error set</w:t>
            </w:r>
          </w:p>
        </w:tc>
      </w:tr>
      <w:tr>
        <w:trPr>
          <w:cantSplit/>
        </w:trPr>
        <w:tc>
          <w:tcPr>
            <w:tcW w:type="dxa" w:w="1400"/>
            <w:tcMar>
              <w:top w:w="80" w:type="dxa"/>
              <w:start w:w="120" w:type="dxa"/>
              <w:bottom w:w="80" w:type="dxa"/>
              <w:end w:w="120" w:type="dxa"/>
            </w:tcMar>
            <w:vAlign w:val="top"/>
          </w:tcPr>
          <w:p>
            <w:pPr>
              <w:spacing w:after="0" w:line="264" w:lineRule="auto"/>
            </w:pPr>
            <w:r>
              <w:rPr>
                <w:sz w:val="17"/>
              </w:rPr>
              <w:t>Analysis</w:t>
            </w:r>
          </w:p>
        </w:tc>
        <w:tc>
          <w:tcPr>
            <w:tcW w:type="dxa" w:w="3900"/>
            <w:tcMar>
              <w:top w:w="80" w:type="dxa"/>
              <w:start w:w="120" w:type="dxa"/>
              <w:bottom w:w="80" w:type="dxa"/>
              <w:end w:w="120" w:type="dxa"/>
            </w:tcMar>
            <w:vAlign w:val="top"/>
          </w:tcPr>
          <w:p>
            <w:pPr>
              <w:spacing w:after="0" w:line="264" w:lineRule="auto"/>
            </w:pPr>
            <w:r>
              <w:rPr>
                <w:sz w:val="17"/>
              </w:rPr>
              <w:t>analyze_node</w:t>
            </w:r>
          </w:p>
        </w:tc>
        <w:tc>
          <w:tcPr>
            <w:tcW w:type="dxa" w:w="4060"/>
            <w:tcMar>
              <w:top w:w="80" w:type="dxa"/>
              <w:start w:w="120" w:type="dxa"/>
              <w:bottom w:w="80" w:type="dxa"/>
              <w:end w:w="120" w:type="dxa"/>
            </w:tcMar>
            <w:vAlign w:val="top"/>
          </w:tcPr>
          <w:p>
            <w:pPr>
              <w:spacing w:after="0" w:line="264" w:lineRule="auto"/>
            </w:pPr>
            <w:r>
              <w:rPr>
                <w:sz w:val="17"/>
              </w:rPr>
              <w:t>Snapshot → status, summary, structured failures</w:t>
            </w:r>
          </w:p>
        </w:tc>
      </w:tr>
      <w:tr>
        <w:trPr>
          <w:cantSplit/>
        </w:trPr>
        <w:tc>
          <w:tcPr>
            <w:tcW w:type="dxa" w:w="1400"/>
            <w:tcMar>
              <w:top w:w="80" w:type="dxa"/>
              <w:start w:w="120" w:type="dxa"/>
              <w:bottom w:w="80" w:type="dxa"/>
              <w:end w:w="120" w:type="dxa"/>
            </w:tcMar>
            <w:vAlign w:val="top"/>
            <w:shd w:fill="FAFBFC"/>
          </w:tcPr>
          <w:p>
            <w:pPr>
              <w:spacing w:after="0" w:line="264" w:lineRule="auto"/>
            </w:pPr>
            <w:r>
              <w:rPr>
                <w:sz w:val="17"/>
              </w:rPr>
              <w:t>Resolution</w:t>
            </w:r>
          </w:p>
        </w:tc>
        <w:tc>
          <w:tcPr>
            <w:tcW w:type="dxa" w:w="3900"/>
            <w:tcMar>
              <w:top w:w="80" w:type="dxa"/>
              <w:start w:w="120" w:type="dxa"/>
              <w:bottom w:w="80" w:type="dxa"/>
              <w:end w:w="120" w:type="dxa"/>
            </w:tcMar>
            <w:vAlign w:val="top"/>
            <w:shd w:fill="FAFBFC"/>
          </w:tcPr>
          <w:p>
            <w:pPr>
              <w:spacing w:after="0" w:line="264" w:lineRule="auto"/>
            </w:pPr>
            <w:r>
              <w:rPr>
                <w:sz w:val="17"/>
              </w:rPr>
              <w:t>resolve_node</w:t>
            </w:r>
          </w:p>
        </w:tc>
        <w:tc>
          <w:tcPr>
            <w:tcW w:type="dxa" w:w="4060"/>
            <w:tcMar>
              <w:top w:w="80" w:type="dxa"/>
              <w:start w:w="120" w:type="dxa"/>
              <w:bottom w:w="80" w:type="dxa"/>
              <w:end w:w="120" w:type="dxa"/>
            </w:tcMar>
            <w:vAlign w:val="top"/>
            <w:shd w:fill="FAFBFC"/>
          </w:tcPr>
          <w:p>
            <w:pPr>
              <w:spacing w:after="0" w:line="264" w:lineRule="auto"/>
            </w:pPr>
            <w:r>
              <w:rPr>
                <w:sz w:val="17"/>
              </w:rPr>
              <w:t>Failures → root causes, procedures, commands, references</w:t>
            </w:r>
          </w:p>
        </w:tc>
      </w:tr>
      <w:tr>
        <w:trPr>
          <w:cantSplit/>
        </w:trPr>
        <w:tc>
          <w:tcPr>
            <w:tcW w:type="dxa" w:w="1400"/>
            <w:tcMar>
              <w:top w:w="80" w:type="dxa"/>
              <w:start w:w="120" w:type="dxa"/>
              <w:bottom w:w="80" w:type="dxa"/>
              <w:end w:w="120" w:type="dxa"/>
            </w:tcMar>
            <w:vAlign w:val="top"/>
          </w:tcPr>
          <w:p>
            <w:pPr>
              <w:spacing w:after="0" w:line="264" w:lineRule="auto"/>
            </w:pPr>
            <w:r>
              <w:rPr>
                <w:sz w:val="17"/>
              </w:rPr>
              <w:t>Knowledge</w:t>
            </w:r>
          </w:p>
        </w:tc>
        <w:tc>
          <w:tcPr>
            <w:tcW w:type="dxa" w:w="3900"/>
            <w:tcMar>
              <w:top w:w="80" w:type="dxa"/>
              <w:start w:w="120" w:type="dxa"/>
              <w:bottom w:w="80" w:type="dxa"/>
              <w:end w:w="120" w:type="dxa"/>
            </w:tcMar>
            <w:vAlign w:val="top"/>
          </w:tcPr>
          <w:p>
            <w:pPr>
              <w:spacing w:after="0" w:line="264" w:lineRule="auto"/>
            </w:pPr>
            <w:r>
              <w:rPr>
                <w:sz w:val="17"/>
              </w:rPr>
              <w:t>rag_node</w:t>
            </w:r>
          </w:p>
        </w:tc>
        <w:tc>
          <w:tcPr>
            <w:tcW w:type="dxa" w:w="4060"/>
            <w:tcMar>
              <w:top w:w="80" w:type="dxa"/>
              <w:start w:w="120" w:type="dxa"/>
              <w:bottom w:w="80" w:type="dxa"/>
              <w:end w:w="120" w:type="dxa"/>
            </w:tcMar>
            <w:vAlign w:val="top"/>
          </w:tcPr>
          <w:p>
            <w:pPr>
              <w:spacing w:after="0" w:line="264" w:lineRule="auto"/>
            </w:pPr>
            <w:r>
              <w:rPr>
                <w:sz w:val="17"/>
              </w:rPr>
              <w:t>Incident description → similar stored incidents or promotion candidate</w:t>
            </w:r>
          </w:p>
        </w:tc>
      </w:tr>
      <w:tr>
        <w:trPr>
          <w:cantSplit/>
        </w:trPr>
        <w:tc>
          <w:tcPr>
            <w:tcW w:type="dxa" w:w="1400"/>
            <w:tcMar>
              <w:top w:w="80" w:type="dxa"/>
              <w:start w:w="120" w:type="dxa"/>
              <w:bottom w:w="80" w:type="dxa"/>
              <w:end w:w="120" w:type="dxa"/>
            </w:tcMar>
            <w:vAlign w:val="top"/>
            <w:shd w:fill="FAFBFC"/>
          </w:tcPr>
          <w:p>
            <w:pPr>
              <w:spacing w:after="0" w:line="264" w:lineRule="auto"/>
            </w:pPr>
            <w:r>
              <w:rPr>
                <w:sz w:val="17"/>
              </w:rPr>
              <w:t>Control</w:t>
            </w:r>
          </w:p>
        </w:tc>
        <w:tc>
          <w:tcPr>
            <w:tcW w:type="dxa" w:w="3900"/>
            <w:tcMar>
              <w:top w:w="80" w:type="dxa"/>
              <w:start w:w="120" w:type="dxa"/>
              <w:bottom w:w="80" w:type="dxa"/>
              <w:end w:w="120" w:type="dxa"/>
            </w:tcMar>
            <w:vAlign w:val="top"/>
            <w:shd w:fill="FAFBFC"/>
          </w:tcPr>
          <w:p>
            <w:pPr>
              <w:spacing w:after="0" w:line="264" w:lineRule="auto"/>
            </w:pPr>
            <w:r>
              <w:rPr>
                <w:sz w:val="17"/>
              </w:rPr>
              <w:t>propose_remediation_node</w:t>
            </w:r>
          </w:p>
        </w:tc>
        <w:tc>
          <w:tcPr>
            <w:tcW w:type="dxa" w:w="4060"/>
            <w:tcMar>
              <w:top w:w="80" w:type="dxa"/>
              <w:start w:w="120" w:type="dxa"/>
              <w:bottom w:w="80" w:type="dxa"/>
              <w:end w:w="120" w:type="dxa"/>
            </w:tcMar>
            <w:vAlign w:val="top"/>
            <w:shd w:fill="FAFBFC"/>
          </w:tcPr>
          <w:p>
            <w:pPr>
              <w:spacing w:after="0" w:line="264" w:lineRule="auto"/>
            </w:pPr>
            <w:r>
              <w:rPr>
                <w:sz w:val="17"/>
              </w:rPr>
              <w:t>Eligible failure → PENDING_APPROVAL request</w:t>
            </w:r>
          </w:p>
        </w:tc>
      </w:tr>
      <w:tr>
        <w:trPr>
          <w:cantSplit/>
        </w:trPr>
        <w:tc>
          <w:tcPr>
            <w:tcW w:type="dxa" w:w="1400"/>
            <w:tcMar>
              <w:top w:w="80" w:type="dxa"/>
              <w:start w:w="120" w:type="dxa"/>
              <w:bottom w:w="80" w:type="dxa"/>
              <w:end w:w="120" w:type="dxa"/>
            </w:tcMar>
            <w:vAlign w:val="top"/>
          </w:tcPr>
          <w:p>
            <w:pPr>
              <w:spacing w:after="0" w:line="264" w:lineRule="auto"/>
            </w:pPr>
            <w:r>
              <w:rPr>
                <w:sz w:val="17"/>
              </w:rPr>
              <w:t>Communication</w:t>
            </w:r>
          </w:p>
        </w:tc>
        <w:tc>
          <w:tcPr>
            <w:tcW w:type="dxa" w:w="3900"/>
            <w:tcMar>
              <w:top w:w="80" w:type="dxa"/>
              <w:start w:w="120" w:type="dxa"/>
              <w:bottom w:w="80" w:type="dxa"/>
              <w:end w:w="120" w:type="dxa"/>
            </w:tcMar>
            <w:vAlign w:val="top"/>
          </w:tcPr>
          <w:p>
            <w:pPr>
              <w:spacing w:after="0" w:line="264" w:lineRule="auto"/>
            </w:pPr>
            <w:r>
              <w:rPr>
                <w:sz w:val="17"/>
              </w:rPr>
              <w:t>build_report_node; escalate_node; send_email_node</w:t>
            </w:r>
          </w:p>
        </w:tc>
        <w:tc>
          <w:tcPr>
            <w:tcW w:type="dxa" w:w="4060"/>
            <w:tcMar>
              <w:top w:w="80" w:type="dxa"/>
              <w:start w:w="120" w:type="dxa"/>
              <w:bottom w:w="80" w:type="dxa"/>
              <w:end w:w="120" w:type="dxa"/>
            </w:tcMar>
            <w:vAlign w:val="top"/>
          </w:tcPr>
          <w:p>
            <w:pPr>
              <w:spacing w:after="0" w:line="264" w:lineRule="auto"/>
            </w:pPr>
            <w:r>
              <w:rPr>
                <w:sz w:val="17"/>
              </w:rPr>
              <w:t>State → HTML report, optional meeting, delivery result</w:t>
            </w:r>
          </w:p>
        </w:tc>
      </w:tr>
      <w:tr>
        <w:trPr>
          <w:cantSplit/>
        </w:trPr>
        <w:tc>
          <w:tcPr>
            <w:tcW w:type="dxa" w:w="1400"/>
            <w:tcMar>
              <w:top w:w="80" w:type="dxa"/>
              <w:start w:w="120" w:type="dxa"/>
              <w:bottom w:w="80" w:type="dxa"/>
              <w:end w:w="120" w:type="dxa"/>
            </w:tcMar>
            <w:vAlign w:val="top"/>
            <w:shd w:fill="FAFBFC"/>
          </w:tcPr>
          <w:p>
            <w:pPr>
              <w:spacing w:after="0" w:line="264" w:lineRule="auto"/>
            </w:pPr>
            <w:r>
              <w:rPr>
                <w:sz w:val="17"/>
              </w:rPr>
              <w:t>Persistence</w:t>
            </w:r>
          </w:p>
        </w:tc>
        <w:tc>
          <w:tcPr>
            <w:tcW w:type="dxa" w:w="3900"/>
            <w:tcMar>
              <w:top w:w="80" w:type="dxa"/>
              <w:start w:w="120" w:type="dxa"/>
              <w:bottom w:w="80" w:type="dxa"/>
              <w:end w:w="120" w:type="dxa"/>
            </w:tcMar>
            <w:vAlign w:val="top"/>
            <w:shd w:fill="FAFBFC"/>
          </w:tcPr>
          <w:p>
            <w:pPr>
              <w:spacing w:after="0" w:line="264" w:lineRule="auto"/>
            </w:pPr>
            <w:r>
              <w:rPr>
                <w:sz w:val="17"/>
              </w:rPr>
              <w:t>save_run_node</w:t>
            </w:r>
          </w:p>
        </w:tc>
        <w:tc>
          <w:tcPr>
            <w:tcW w:type="dxa" w:w="4060"/>
            <w:tcMar>
              <w:top w:w="80" w:type="dxa"/>
              <w:start w:w="120" w:type="dxa"/>
              <w:bottom w:w="80" w:type="dxa"/>
              <w:end w:w="120" w:type="dxa"/>
            </w:tcMar>
            <w:vAlign w:val="top"/>
            <w:shd w:fill="FAFBFC"/>
          </w:tcPr>
          <w:p>
            <w:pPr>
              <w:spacing w:after="0" w:line="264" w:lineRule="auto"/>
            </w:pPr>
            <w:r>
              <w:rPr>
                <w:sz w:val="17"/>
              </w:rPr>
              <w:t>Final state → relational and JSONB records</w:t>
            </w:r>
          </w:p>
        </w:tc>
      </w:tr>
    </w:tbl>
    <w:p>
      <w:pPr>
        <w:spacing w:after="0"/>
      </w:pPr>
    </w:p>
    <w:p>
      <w:pPr>
        <w:pStyle w:val="Heading2"/>
      </w:pPr>
      <w:r>
        <w:t>ClusterState</w:t>
      </w:r>
    </w:p>
    <w:p>
      <w:r>
        <w:t>agent/state.py defines the shared graph state. It carries configuration/context, independent collector payloads, aggregation results, collection errors, health analysis, failures, resolutions, RAG matches, remediation proposals, report HTML, escalation results, email status, timestamps, and persistence identifiers. Reducer behavior is used where parallel branches contribute values.</w:t>
      </w:r>
    </w:p>
    <w:p>
      <w:pPr>
        <w:pStyle w:val="Heading1"/>
      </w:pPr>
      <w:r>
        <w:t>7. OpenShift data collection</w:t>
      </w:r>
    </w:p>
    <w:tbl>
      <w:tblPr>
        <w:tblW w:type="dxa" w:w="9360"/>
        <w:jc w:val="center"/>
        <w:tblLayout w:type="fixed"/>
        <w:tblLook w:firstColumn="1" w:firstRow="1" w:lastColumn="0" w:lastRow="0" w:noHBand="0" w:noVBand="1" w:val="04A0"/>
        <w:tblInd w:w="120" w:type="dxa"/>
        <w:tblLayout w:type="fixed"/>
      </w:tblPr>
      <w:tblGrid>
        <w:gridCol w:w="1600"/>
        <w:gridCol w:w="4050"/>
        <w:gridCol w:w="3710"/>
      </w:tblGrid>
      <w:tr>
        <w:trPr>
          <w:tblHeader w:val="true"/>
          <w:cantSplit/>
        </w:trPr>
        <w:tc>
          <w:tcPr>
            <w:tcW w:type="dxa" w:w="1600"/>
            <w:tcMar>
              <w:top w:w="80" w:type="dxa"/>
              <w:start w:w="120" w:type="dxa"/>
              <w:bottom w:w="80" w:type="dxa"/>
              <w:end w:w="120" w:type="dxa"/>
            </w:tcMar>
            <w:shd w:fill="E8EEF5"/>
            <w:vAlign w:val="center"/>
          </w:tcPr>
          <w:p>
            <w:pPr>
              <w:spacing w:after="0"/>
            </w:pPr>
            <w:r>
              <w:rPr>
                <w:b/>
                <w:color w:val="0B2545"/>
                <w:sz w:val="18"/>
              </w:rPr>
              <w:t>Collector</w:t>
            </w:r>
          </w:p>
        </w:tc>
        <w:tc>
          <w:tcPr>
            <w:tcW w:type="dxa" w:w="4050"/>
            <w:tcMar>
              <w:top w:w="80" w:type="dxa"/>
              <w:start w:w="120" w:type="dxa"/>
              <w:bottom w:w="80" w:type="dxa"/>
              <w:end w:w="120" w:type="dxa"/>
            </w:tcMar>
            <w:shd w:fill="E8EEF5"/>
            <w:vAlign w:val="center"/>
          </w:tcPr>
          <w:p>
            <w:pPr>
              <w:spacing w:after="0"/>
            </w:pPr>
            <w:r>
              <w:rPr>
                <w:b/>
                <w:color w:val="0B2545"/>
                <w:sz w:val="18"/>
              </w:rPr>
              <w:t>Primary signals</w:t>
            </w:r>
          </w:p>
        </w:tc>
        <w:tc>
          <w:tcPr>
            <w:tcW w:type="dxa" w:w="3710"/>
            <w:tcMar>
              <w:top w:w="80" w:type="dxa"/>
              <w:start w:w="120" w:type="dxa"/>
              <w:bottom w:w="80" w:type="dxa"/>
              <w:end w:w="120" w:type="dxa"/>
            </w:tcMar>
            <w:shd w:fill="E8EEF5"/>
            <w:vAlign w:val="center"/>
          </w:tcPr>
          <w:p>
            <w:pPr>
              <w:spacing w:after="0"/>
            </w:pPr>
            <w:r>
              <w:rPr>
                <w:b/>
                <w:color w:val="0B2545"/>
                <w:sz w:val="18"/>
              </w:rPr>
              <w:t>Typical problems identified</w:t>
            </w:r>
          </w:p>
        </w:tc>
      </w:tr>
      <w:tr>
        <w:trPr>
          <w:cantSplit/>
        </w:trPr>
        <w:tc>
          <w:tcPr>
            <w:tcW w:type="dxa" w:w="1600"/>
            <w:tcMar>
              <w:top w:w="80" w:type="dxa"/>
              <w:start w:w="120" w:type="dxa"/>
              <w:bottom w:w="80" w:type="dxa"/>
              <w:end w:w="120" w:type="dxa"/>
            </w:tcMar>
            <w:vAlign w:val="top"/>
          </w:tcPr>
          <w:p>
            <w:pPr>
              <w:spacing w:after="0" w:line="264" w:lineRule="auto"/>
            </w:pPr>
            <w:r>
              <w:rPr>
                <w:sz w:val="18"/>
              </w:rPr>
              <w:t>Nodes</w:t>
            </w:r>
          </w:p>
        </w:tc>
        <w:tc>
          <w:tcPr>
            <w:tcW w:type="dxa" w:w="4050"/>
            <w:tcMar>
              <w:top w:w="80" w:type="dxa"/>
              <w:start w:w="120" w:type="dxa"/>
              <w:bottom w:w="80" w:type="dxa"/>
              <w:end w:w="120" w:type="dxa"/>
            </w:tcMar>
            <w:vAlign w:val="top"/>
          </w:tcPr>
          <w:p>
            <w:pPr>
              <w:spacing w:after="0" w:line="264" w:lineRule="auto"/>
            </w:pPr>
            <w:r>
              <w:rPr>
                <w:sz w:val="18"/>
              </w:rPr>
              <w:t>Role, readiness, conditions, capacity/allocatable, pressure</w:t>
            </w:r>
          </w:p>
        </w:tc>
        <w:tc>
          <w:tcPr>
            <w:tcW w:type="dxa" w:w="3710"/>
            <w:tcMar>
              <w:top w:w="80" w:type="dxa"/>
              <w:start w:w="120" w:type="dxa"/>
              <w:bottom w:w="80" w:type="dxa"/>
              <w:end w:w="120" w:type="dxa"/>
            </w:tcMar>
            <w:vAlign w:val="top"/>
          </w:tcPr>
          <w:p>
            <w:pPr>
              <w:spacing w:after="0" w:line="264" w:lineRule="auto"/>
            </w:pPr>
            <w:r>
              <w:rPr>
                <w:sz w:val="18"/>
              </w:rPr>
              <w:t>NotReady, memory/disk/PID pressure, unreachable or unschedulable nodes</w:t>
            </w:r>
          </w:p>
        </w:tc>
      </w:tr>
      <w:tr>
        <w:trPr>
          <w:cantSplit/>
        </w:trPr>
        <w:tc>
          <w:tcPr>
            <w:tcW w:type="dxa" w:w="1600"/>
            <w:tcMar>
              <w:top w:w="80" w:type="dxa"/>
              <w:start w:w="120" w:type="dxa"/>
              <w:bottom w:w="80" w:type="dxa"/>
              <w:end w:w="120" w:type="dxa"/>
            </w:tcMar>
            <w:vAlign w:val="top"/>
            <w:shd w:fill="FAFBFC"/>
          </w:tcPr>
          <w:p>
            <w:pPr>
              <w:spacing w:after="0" w:line="264" w:lineRule="auto"/>
            </w:pPr>
            <w:r>
              <w:rPr>
                <w:sz w:val="18"/>
              </w:rPr>
              <w:t>ClusterOperators</w:t>
            </w:r>
          </w:p>
        </w:tc>
        <w:tc>
          <w:tcPr>
            <w:tcW w:type="dxa" w:w="4050"/>
            <w:tcMar>
              <w:top w:w="80" w:type="dxa"/>
              <w:start w:w="120" w:type="dxa"/>
              <w:bottom w:w="80" w:type="dxa"/>
              <w:end w:w="120" w:type="dxa"/>
            </w:tcMar>
            <w:vAlign w:val="top"/>
            <w:shd w:fill="FAFBFC"/>
          </w:tcPr>
          <w:p>
            <w:pPr>
              <w:spacing w:after="0" w:line="264" w:lineRule="auto"/>
            </w:pPr>
            <w:r>
              <w:rPr>
                <w:sz w:val="18"/>
              </w:rPr>
              <w:t>Available, Progressing, Degraded conditions and messages</w:t>
            </w:r>
          </w:p>
        </w:tc>
        <w:tc>
          <w:tcPr>
            <w:tcW w:type="dxa" w:w="3710"/>
            <w:tcMar>
              <w:top w:w="80" w:type="dxa"/>
              <w:start w:w="120" w:type="dxa"/>
              <w:bottom w:w="80" w:type="dxa"/>
              <w:end w:w="120" w:type="dxa"/>
            </w:tcMar>
            <w:vAlign w:val="top"/>
            <w:shd w:fill="FAFBFC"/>
          </w:tcPr>
          <w:p>
            <w:pPr>
              <w:spacing w:after="0" w:line="264" w:lineRule="auto"/>
            </w:pPr>
            <w:r>
              <w:rPr>
                <w:sz w:val="18"/>
              </w:rPr>
              <w:t>Platform operator degradation or prolonged progression</w:t>
            </w:r>
          </w:p>
        </w:tc>
      </w:tr>
      <w:tr>
        <w:trPr>
          <w:cantSplit/>
        </w:trPr>
        <w:tc>
          <w:tcPr>
            <w:tcW w:type="dxa" w:w="1600"/>
            <w:tcMar>
              <w:top w:w="80" w:type="dxa"/>
              <w:start w:w="120" w:type="dxa"/>
              <w:bottom w:w="80" w:type="dxa"/>
              <w:end w:w="120" w:type="dxa"/>
            </w:tcMar>
            <w:vAlign w:val="top"/>
          </w:tcPr>
          <w:p>
            <w:pPr>
              <w:spacing w:after="0" w:line="264" w:lineRule="auto"/>
            </w:pPr>
            <w:r>
              <w:rPr>
                <w:sz w:val="18"/>
              </w:rPr>
              <w:t>MachineConfigPools</w:t>
            </w:r>
          </w:p>
        </w:tc>
        <w:tc>
          <w:tcPr>
            <w:tcW w:type="dxa" w:w="4050"/>
            <w:tcMar>
              <w:top w:w="80" w:type="dxa"/>
              <w:start w:w="120" w:type="dxa"/>
              <w:bottom w:w="80" w:type="dxa"/>
              <w:end w:w="120" w:type="dxa"/>
            </w:tcMar>
            <w:vAlign w:val="top"/>
          </w:tcPr>
          <w:p>
            <w:pPr>
              <w:spacing w:after="0" w:line="264" w:lineRule="auto"/>
            </w:pPr>
            <w:r>
              <w:rPr>
                <w:sz w:val="18"/>
              </w:rPr>
              <w:t>Machine, ready, updated, degraded counts; conditions</w:t>
            </w:r>
          </w:p>
        </w:tc>
        <w:tc>
          <w:tcPr>
            <w:tcW w:type="dxa" w:w="3710"/>
            <w:tcMar>
              <w:top w:w="80" w:type="dxa"/>
              <w:start w:w="120" w:type="dxa"/>
              <w:bottom w:w="80" w:type="dxa"/>
              <w:end w:w="120" w:type="dxa"/>
            </w:tcMar>
            <w:vAlign w:val="top"/>
          </w:tcPr>
          <w:p>
            <w:pPr>
              <w:spacing w:after="0" w:line="264" w:lineRule="auto"/>
            </w:pPr>
            <w:r>
              <w:rPr>
                <w:sz w:val="18"/>
              </w:rPr>
              <w:t>Failed or stuck node configuration rollout</w:t>
            </w:r>
          </w:p>
        </w:tc>
      </w:tr>
      <w:tr>
        <w:trPr>
          <w:cantSplit/>
        </w:trPr>
        <w:tc>
          <w:tcPr>
            <w:tcW w:type="dxa" w:w="1600"/>
            <w:tcMar>
              <w:top w:w="80" w:type="dxa"/>
              <w:start w:w="120" w:type="dxa"/>
              <w:bottom w:w="80" w:type="dxa"/>
              <w:end w:w="120" w:type="dxa"/>
            </w:tcMar>
            <w:vAlign w:val="top"/>
            <w:shd w:fill="FAFBFC"/>
          </w:tcPr>
          <w:p>
            <w:pPr>
              <w:spacing w:after="0" w:line="264" w:lineRule="auto"/>
            </w:pPr>
            <w:r>
              <w:rPr>
                <w:sz w:val="18"/>
              </w:rPr>
              <w:t>etcd</w:t>
            </w:r>
          </w:p>
        </w:tc>
        <w:tc>
          <w:tcPr>
            <w:tcW w:type="dxa" w:w="4050"/>
            <w:tcMar>
              <w:top w:w="80" w:type="dxa"/>
              <w:start w:w="120" w:type="dxa"/>
              <w:bottom w:w="80" w:type="dxa"/>
              <w:end w:w="120" w:type="dxa"/>
            </w:tcMar>
            <w:vAlign w:val="top"/>
            <w:shd w:fill="FAFBFC"/>
          </w:tcPr>
          <w:p>
            <w:pPr>
              <w:spacing w:after="0" w:line="264" w:lineRule="auto"/>
            </w:pPr>
            <w:r>
              <w:rPr>
                <w:sz w:val="18"/>
              </w:rPr>
              <w:t>etcd-related health/resources exposed through cluster APIs</w:t>
            </w:r>
          </w:p>
        </w:tc>
        <w:tc>
          <w:tcPr>
            <w:tcW w:type="dxa" w:w="3710"/>
            <w:tcMar>
              <w:top w:w="80" w:type="dxa"/>
              <w:start w:w="120" w:type="dxa"/>
              <w:bottom w:w="80" w:type="dxa"/>
              <w:end w:w="120" w:type="dxa"/>
            </w:tcMar>
            <w:vAlign w:val="top"/>
            <w:shd w:fill="FAFBFC"/>
          </w:tcPr>
          <w:p>
            <w:pPr>
              <w:spacing w:after="0" w:line="264" w:lineRule="auto"/>
            </w:pPr>
            <w:r>
              <w:rPr>
                <w:sz w:val="18"/>
              </w:rPr>
              <w:t>Control-plane datastore degradation indicators</w:t>
            </w:r>
          </w:p>
        </w:tc>
      </w:tr>
      <w:tr>
        <w:trPr>
          <w:cantSplit/>
        </w:trPr>
        <w:tc>
          <w:tcPr>
            <w:tcW w:type="dxa" w:w="1600"/>
            <w:tcMar>
              <w:top w:w="80" w:type="dxa"/>
              <w:start w:w="120" w:type="dxa"/>
              <w:bottom w:w="80" w:type="dxa"/>
              <w:end w:w="120" w:type="dxa"/>
            </w:tcMar>
            <w:vAlign w:val="top"/>
          </w:tcPr>
          <w:p>
            <w:pPr>
              <w:spacing w:after="0" w:line="264" w:lineRule="auto"/>
            </w:pPr>
            <w:r>
              <w:rPr>
                <w:sz w:val="18"/>
              </w:rPr>
              <w:t>PVCs</w:t>
            </w:r>
          </w:p>
        </w:tc>
        <w:tc>
          <w:tcPr>
            <w:tcW w:type="dxa" w:w="4050"/>
            <w:tcMar>
              <w:top w:w="80" w:type="dxa"/>
              <w:start w:w="120" w:type="dxa"/>
              <w:bottom w:w="80" w:type="dxa"/>
              <w:end w:w="120" w:type="dxa"/>
            </w:tcMar>
            <w:vAlign w:val="top"/>
          </w:tcPr>
          <w:p>
            <w:pPr>
              <w:spacing w:after="0" w:line="264" w:lineRule="auto"/>
            </w:pPr>
            <w:r>
              <w:rPr>
                <w:sz w:val="18"/>
              </w:rPr>
              <w:t>Phase, namespace, storage class, requested capacity</w:t>
            </w:r>
          </w:p>
        </w:tc>
        <w:tc>
          <w:tcPr>
            <w:tcW w:type="dxa" w:w="3710"/>
            <w:tcMar>
              <w:top w:w="80" w:type="dxa"/>
              <w:start w:w="120" w:type="dxa"/>
              <w:bottom w:w="80" w:type="dxa"/>
              <w:end w:w="120" w:type="dxa"/>
            </w:tcMar>
            <w:vAlign w:val="top"/>
          </w:tcPr>
          <w:p>
            <w:pPr>
              <w:spacing w:after="0" w:line="264" w:lineRule="auto"/>
            </w:pPr>
            <w:r>
              <w:rPr>
                <w:sz w:val="18"/>
              </w:rPr>
              <w:t>Pending, lost, or unbound persistent volumes</w:t>
            </w:r>
          </w:p>
        </w:tc>
      </w:tr>
      <w:tr>
        <w:trPr>
          <w:cantSplit/>
        </w:trPr>
        <w:tc>
          <w:tcPr>
            <w:tcW w:type="dxa" w:w="1600"/>
            <w:tcMar>
              <w:top w:w="80" w:type="dxa"/>
              <w:start w:w="120" w:type="dxa"/>
              <w:bottom w:w="80" w:type="dxa"/>
              <w:end w:w="120" w:type="dxa"/>
            </w:tcMar>
            <w:vAlign w:val="top"/>
            <w:shd w:fill="FAFBFC"/>
          </w:tcPr>
          <w:p>
            <w:pPr>
              <w:spacing w:after="0" w:line="264" w:lineRule="auto"/>
            </w:pPr>
            <w:r>
              <w:rPr>
                <w:sz w:val="18"/>
              </w:rPr>
              <w:t>Pods</w:t>
            </w:r>
          </w:p>
        </w:tc>
        <w:tc>
          <w:tcPr>
            <w:tcW w:type="dxa" w:w="4050"/>
            <w:tcMar>
              <w:top w:w="80" w:type="dxa"/>
              <w:start w:w="120" w:type="dxa"/>
              <w:bottom w:w="80" w:type="dxa"/>
              <w:end w:w="120" w:type="dxa"/>
            </w:tcMar>
            <w:vAlign w:val="top"/>
            <w:shd w:fill="FAFBFC"/>
          </w:tcPr>
          <w:p>
            <w:pPr>
              <w:spacing w:after="0" w:line="264" w:lineRule="auto"/>
            </w:pPr>
            <w:r>
              <w:rPr>
                <w:sz w:val="18"/>
              </w:rPr>
              <w:t>Phase, readiness, restarts, waiting/terminated reasons, owners</w:t>
            </w:r>
          </w:p>
        </w:tc>
        <w:tc>
          <w:tcPr>
            <w:tcW w:type="dxa" w:w="3710"/>
            <w:tcMar>
              <w:top w:w="80" w:type="dxa"/>
              <w:start w:w="120" w:type="dxa"/>
              <w:bottom w:w="80" w:type="dxa"/>
              <w:end w:w="120" w:type="dxa"/>
            </w:tcMar>
            <w:vAlign w:val="top"/>
            <w:shd w:fill="FAFBFC"/>
          </w:tcPr>
          <w:p>
            <w:pPr>
              <w:spacing w:after="0" w:line="264" w:lineRule="auto"/>
            </w:pPr>
            <w:r>
              <w:rPr>
                <w:sz w:val="18"/>
              </w:rPr>
              <w:t>CrashLoopBackOff, ImagePull errors, Pending, failed readiness</w:t>
            </w:r>
          </w:p>
        </w:tc>
      </w:tr>
      <w:tr>
        <w:trPr>
          <w:cantSplit/>
        </w:trPr>
        <w:tc>
          <w:tcPr>
            <w:tcW w:type="dxa" w:w="1600"/>
            <w:tcMar>
              <w:top w:w="80" w:type="dxa"/>
              <w:start w:w="120" w:type="dxa"/>
              <w:bottom w:w="80" w:type="dxa"/>
              <w:end w:w="120" w:type="dxa"/>
            </w:tcMar>
            <w:vAlign w:val="top"/>
          </w:tcPr>
          <w:p>
            <w:pPr>
              <w:spacing w:after="0" w:line="264" w:lineRule="auto"/>
            </w:pPr>
            <w:r>
              <w:rPr>
                <w:sz w:val="18"/>
              </w:rPr>
              <w:t>Certificates</w:t>
            </w:r>
          </w:p>
        </w:tc>
        <w:tc>
          <w:tcPr>
            <w:tcW w:type="dxa" w:w="4050"/>
            <w:tcMar>
              <w:top w:w="80" w:type="dxa"/>
              <w:start w:w="120" w:type="dxa"/>
              <w:bottom w:w="80" w:type="dxa"/>
              <w:end w:w="120" w:type="dxa"/>
            </w:tcMar>
            <w:vAlign w:val="top"/>
          </w:tcPr>
          <w:p>
            <w:pPr>
              <w:spacing w:after="0" w:line="264" w:lineRule="auto"/>
            </w:pPr>
            <w:r>
              <w:rPr>
                <w:sz w:val="18"/>
              </w:rPr>
              <w:t>Relevant certificate/secret timing and health observations</w:t>
            </w:r>
          </w:p>
        </w:tc>
        <w:tc>
          <w:tcPr>
            <w:tcW w:type="dxa" w:w="3710"/>
            <w:tcMar>
              <w:top w:w="80" w:type="dxa"/>
              <w:start w:w="120" w:type="dxa"/>
              <w:bottom w:w="80" w:type="dxa"/>
              <w:end w:w="120" w:type="dxa"/>
            </w:tcMar>
            <w:vAlign w:val="top"/>
          </w:tcPr>
          <w:p>
            <w:pPr>
              <w:spacing w:after="0" w:line="264" w:lineRule="auto"/>
            </w:pPr>
            <w:r>
              <w:rPr>
                <w:sz w:val="18"/>
              </w:rPr>
              <w:t>Expired or approaching-expiry certificates when visible</w:t>
            </w:r>
          </w:p>
        </w:tc>
      </w:tr>
      <w:tr>
        <w:trPr>
          <w:cantSplit/>
        </w:trPr>
        <w:tc>
          <w:tcPr>
            <w:tcW w:type="dxa" w:w="1600"/>
            <w:tcMar>
              <w:top w:w="80" w:type="dxa"/>
              <w:start w:w="120" w:type="dxa"/>
              <w:bottom w:w="80" w:type="dxa"/>
              <w:end w:w="120" w:type="dxa"/>
            </w:tcMar>
            <w:vAlign w:val="top"/>
            <w:shd w:fill="FAFBFC"/>
          </w:tcPr>
          <w:p>
            <w:pPr>
              <w:spacing w:after="0" w:line="264" w:lineRule="auto"/>
            </w:pPr>
            <w:r>
              <w:rPr>
                <w:sz w:val="18"/>
              </w:rPr>
              <w:t>CP4I</w:t>
            </w:r>
          </w:p>
        </w:tc>
        <w:tc>
          <w:tcPr>
            <w:tcW w:type="dxa" w:w="4050"/>
            <w:tcMar>
              <w:top w:w="80" w:type="dxa"/>
              <w:start w:w="120" w:type="dxa"/>
              <w:bottom w:w="80" w:type="dxa"/>
              <w:end w:w="120" w:type="dxa"/>
            </w:tcMar>
            <w:vAlign w:val="top"/>
            <w:shd w:fill="FAFBFC"/>
          </w:tcPr>
          <w:p>
            <w:pPr>
              <w:spacing w:after="0" w:line="264" w:lineRule="auto"/>
            </w:pPr>
            <w:r>
              <w:rPr>
                <w:sz w:val="18"/>
              </w:rPr>
              <w:t>Configured IBM Cloud Pak for Integration resources/workloads</w:t>
            </w:r>
          </w:p>
        </w:tc>
        <w:tc>
          <w:tcPr>
            <w:tcW w:type="dxa" w:w="3710"/>
            <w:tcMar>
              <w:top w:w="80" w:type="dxa"/>
              <w:start w:w="120" w:type="dxa"/>
              <w:bottom w:w="80" w:type="dxa"/>
              <w:end w:w="120" w:type="dxa"/>
            </w:tcMar>
            <w:vAlign w:val="top"/>
            <w:shd w:fill="FAFBFC"/>
          </w:tcPr>
          <w:p>
            <w:pPr>
              <w:spacing w:after="0" w:line="264" w:lineRule="auto"/>
            </w:pPr>
            <w:r>
              <w:rPr>
                <w:sz w:val="18"/>
              </w:rPr>
              <w:t>Platform-specific component problems inside the selected scope</w:t>
            </w:r>
          </w:p>
        </w:tc>
      </w:tr>
    </w:tbl>
    <w:p>
      <w:pPr>
        <w:spacing w:after="0"/>
      </w:pPr>
    </w:p>
    <w:p>
      <w:pPr>
        <w:pStyle w:val="Heading2"/>
      </w:pPr>
      <w:r>
        <w:t>Collection boundaries</w:t>
      </w:r>
    </w:p>
    <w:p>
      <w:pPr>
        <w:numPr>
          <w:ilvl w:val="0"/>
          <w:numId w:val="10"/>
        </w:numPr>
        <w:spacing w:after="80" w:line="300" w:lineRule="auto"/>
      </w:pPr>
      <w:r>
        <w:t>Low-level API access lives in agent/tools.py; orchestration and business decisions live in agent/nodes.py. This separation keeps Kubernetes calls testable and prevents UI code from becoming a monitoring dependency.</w:t>
      </w:r>
    </w:p>
    <w:p>
      <w:pPr>
        <w:numPr>
          <w:ilvl w:val="0"/>
          <w:numId w:val="10"/>
        </w:numPr>
        <w:spacing w:after="80" w:line="300" w:lineRule="auto"/>
      </w:pPr>
      <w:r>
        <w:t>The scheduler’s read path is designed around a read-only ClusterRole. Secret-reading capability should be reviewed carefully in production and reduced to the minimum namespaces/resources required for certificate checks.</w:t>
      </w:r>
    </w:p>
    <w:p>
      <w:pPr>
        <w:numPr>
          <w:ilvl w:val="0"/>
          <w:numId w:val="10"/>
        </w:numPr>
        <w:spacing w:after="80" w:line="300" w:lineRule="auto"/>
      </w:pPr>
      <w:r>
        <w:t>Each observation is normalized before it reaches the LLM, limiting token use and providing stable structured evidence.</w:t>
      </w:r>
    </w:p>
    <w:p>
      <w:pPr>
        <w:numPr>
          <w:ilvl w:val="0"/>
          <w:numId w:val="10"/>
        </w:numPr>
        <w:spacing w:after="80" w:line="300" w:lineRule="auto"/>
      </w:pPr>
      <w:r>
        <w:t>Collection errors are first-class data. An API permission or connectivity problem is not treated as proof that the cluster is healthy.</w:t>
      </w:r>
    </w:p>
    <w:p>
      <w:pPr>
        <w:pStyle w:val="Heading1"/>
      </w:pPr>
      <w:r>
        <w:t>8. AI analysis and RAG</w:t>
      </w:r>
    </w:p>
    <w:p>
      <w:pPr>
        <w:pStyle w:val="Heading2"/>
      </w:pPr>
      <w:r>
        <w:t>8.1 LLM analysis</w:t>
      </w:r>
    </w:p>
    <w:p>
      <w:r>
        <w:t>agent/llm_chains.py uses LangChain with ChatGroq. The configured model is requested with temperature 0 to reduce variation. Pydantic-style structured outputs constrain the response into fields the rest of the graph can validate and store instead of relying on free-form prose.</w:t>
      </w:r>
    </w:p>
    <w:tbl>
      <w:tblPr>
        <w:tblW w:type="dxa" w:w="9360"/>
        <w:jc w:val="center"/>
        <w:tblLayout w:type="fixed"/>
        <w:tblLook w:firstColumn="1" w:firstRow="1" w:lastColumn="0" w:lastRow="0" w:noHBand="0" w:noVBand="1" w:val="04A0"/>
        <w:tblInd w:w="120" w:type="dxa"/>
        <w:tblLayout w:type="fixed"/>
      </w:tblPr>
      <w:tblGrid>
        <w:gridCol w:w="2100"/>
        <w:gridCol w:w="4250"/>
        <w:gridCol w:w="3010"/>
      </w:tblGrid>
      <w:tr>
        <w:trPr>
          <w:tblHeader w:val="true"/>
          <w:cantSplit/>
        </w:trPr>
        <w:tc>
          <w:tcPr>
            <w:tcW w:type="dxa" w:w="2100"/>
            <w:tcMar>
              <w:top w:w="80" w:type="dxa"/>
              <w:start w:w="120" w:type="dxa"/>
              <w:bottom w:w="80" w:type="dxa"/>
              <w:end w:w="120" w:type="dxa"/>
            </w:tcMar>
            <w:shd w:fill="E8EEF5"/>
            <w:vAlign w:val="center"/>
          </w:tcPr>
          <w:p>
            <w:pPr>
              <w:spacing w:after="0"/>
            </w:pPr>
            <w:r>
              <w:rPr>
                <w:b/>
                <w:color w:val="0B2545"/>
                <w:sz w:val="18"/>
              </w:rPr>
              <w:t>LLM task</w:t>
            </w:r>
          </w:p>
        </w:tc>
        <w:tc>
          <w:tcPr>
            <w:tcW w:type="dxa" w:w="4250"/>
            <w:tcMar>
              <w:top w:w="80" w:type="dxa"/>
              <w:start w:w="120" w:type="dxa"/>
              <w:bottom w:w="80" w:type="dxa"/>
              <w:end w:w="120" w:type="dxa"/>
            </w:tcMar>
            <w:shd w:fill="E8EEF5"/>
            <w:vAlign w:val="center"/>
          </w:tcPr>
          <w:p>
            <w:pPr>
              <w:spacing w:after="0"/>
            </w:pPr>
            <w:r>
              <w:rPr>
                <w:b/>
                <w:color w:val="0B2545"/>
                <w:sz w:val="18"/>
              </w:rPr>
              <w:t>Expected structured result</w:t>
            </w:r>
          </w:p>
        </w:tc>
        <w:tc>
          <w:tcPr>
            <w:tcW w:type="dxa" w:w="3010"/>
            <w:tcMar>
              <w:top w:w="80" w:type="dxa"/>
              <w:start w:w="120" w:type="dxa"/>
              <w:bottom w:w="80" w:type="dxa"/>
              <w:end w:w="120" w:type="dxa"/>
            </w:tcMar>
            <w:shd w:fill="E8EEF5"/>
            <w:vAlign w:val="center"/>
          </w:tcPr>
          <w:p>
            <w:pPr>
              <w:spacing w:after="0"/>
            </w:pPr>
            <w:r>
              <w:rPr>
                <w:b/>
                <w:color w:val="0B2545"/>
                <w:sz w:val="18"/>
              </w:rPr>
              <w:t>Guardrail</w:t>
            </w:r>
          </w:p>
        </w:tc>
      </w:tr>
      <w:tr>
        <w:trPr>
          <w:cantSplit/>
        </w:trPr>
        <w:tc>
          <w:tcPr>
            <w:tcW w:type="dxa" w:w="2100"/>
            <w:tcMar>
              <w:top w:w="80" w:type="dxa"/>
              <w:start w:w="120" w:type="dxa"/>
              <w:bottom w:w="80" w:type="dxa"/>
              <w:end w:w="120" w:type="dxa"/>
            </w:tcMar>
            <w:vAlign w:val="top"/>
          </w:tcPr>
          <w:p>
            <w:pPr>
              <w:spacing w:after="0" w:line="264" w:lineRule="auto"/>
            </w:pPr>
            <w:r>
              <w:rPr>
                <w:sz w:val="18"/>
              </w:rPr>
              <w:t>Cluster analysis</w:t>
            </w:r>
          </w:p>
        </w:tc>
        <w:tc>
          <w:tcPr>
            <w:tcW w:type="dxa" w:w="4250"/>
            <w:tcMar>
              <w:top w:w="80" w:type="dxa"/>
              <w:start w:w="120" w:type="dxa"/>
              <w:bottom w:w="80" w:type="dxa"/>
              <w:end w:w="120" w:type="dxa"/>
            </w:tcMar>
            <w:vAlign w:val="top"/>
          </w:tcPr>
          <w:p>
            <w:pPr>
              <w:spacing w:after="0" w:line="264" w:lineRule="auto"/>
            </w:pPr>
            <w:r>
              <w:rPr>
                <w:sz w:val="18"/>
              </w:rPr>
              <w:t>Overall status, concise summary, list of typed failures</w:t>
            </w:r>
          </w:p>
        </w:tc>
        <w:tc>
          <w:tcPr>
            <w:tcW w:type="dxa" w:w="3010"/>
            <w:tcMar>
              <w:top w:w="80" w:type="dxa"/>
              <w:start w:w="120" w:type="dxa"/>
              <w:bottom w:w="80" w:type="dxa"/>
              <w:end w:w="120" w:type="dxa"/>
            </w:tcMar>
            <w:vAlign w:val="top"/>
          </w:tcPr>
          <w:p>
            <w:pPr>
              <w:spacing w:after="0" w:line="264" w:lineRule="auto"/>
            </w:pPr>
            <w:r>
              <w:rPr>
                <w:sz w:val="18"/>
              </w:rPr>
              <w:t>Schema validation, deterministic context, retry/fallback</w:t>
            </w:r>
          </w:p>
        </w:tc>
      </w:tr>
      <w:tr>
        <w:trPr>
          <w:cantSplit/>
        </w:trPr>
        <w:tc>
          <w:tcPr>
            <w:tcW w:type="dxa" w:w="2100"/>
            <w:tcMar>
              <w:top w:w="80" w:type="dxa"/>
              <w:start w:w="120" w:type="dxa"/>
              <w:bottom w:w="80" w:type="dxa"/>
              <w:end w:w="120" w:type="dxa"/>
            </w:tcMar>
            <w:vAlign w:val="top"/>
            <w:shd w:fill="FAFBFC"/>
          </w:tcPr>
          <w:p>
            <w:pPr>
              <w:spacing w:after="0" w:line="264" w:lineRule="auto"/>
            </w:pPr>
            <w:r>
              <w:rPr>
                <w:sz w:val="18"/>
              </w:rPr>
              <w:t>Resolution generation</w:t>
            </w:r>
          </w:p>
        </w:tc>
        <w:tc>
          <w:tcPr>
            <w:tcW w:type="dxa" w:w="4250"/>
            <w:tcMar>
              <w:top w:w="80" w:type="dxa"/>
              <w:start w:w="120" w:type="dxa"/>
              <w:bottom w:w="80" w:type="dxa"/>
              <w:end w:w="120" w:type="dxa"/>
            </w:tcMar>
            <w:vAlign w:val="top"/>
            <w:shd w:fill="FAFBFC"/>
          </w:tcPr>
          <w:p>
            <w:pPr>
              <w:spacing w:after="0" w:line="264" w:lineRule="auto"/>
            </w:pPr>
            <w:r>
              <w:rPr>
                <w:sz w:val="18"/>
              </w:rPr>
              <w:t>Root cause, ordered steps, commands, documentation reference</w:t>
            </w:r>
          </w:p>
        </w:tc>
        <w:tc>
          <w:tcPr>
            <w:tcW w:type="dxa" w:w="3010"/>
            <w:tcMar>
              <w:top w:w="80" w:type="dxa"/>
              <w:start w:w="120" w:type="dxa"/>
              <w:bottom w:w="80" w:type="dxa"/>
              <w:end w:w="120" w:type="dxa"/>
            </w:tcMar>
            <w:vAlign w:val="top"/>
            <w:shd w:fill="FAFBFC"/>
          </w:tcPr>
          <w:p>
            <w:pPr>
              <w:spacing w:after="0" w:line="264" w:lineRule="auto"/>
            </w:pPr>
            <w:r>
              <w:rPr>
                <w:sz w:val="18"/>
              </w:rPr>
              <w:t>Runs only for identified failures; output stored for review</w:t>
            </w:r>
          </w:p>
        </w:tc>
      </w:tr>
      <w:tr>
        <w:trPr>
          <w:cantSplit/>
        </w:trPr>
        <w:tc>
          <w:tcPr>
            <w:tcW w:type="dxa" w:w="2100"/>
            <w:tcMar>
              <w:top w:w="80" w:type="dxa"/>
              <w:start w:w="120" w:type="dxa"/>
              <w:bottom w:w="80" w:type="dxa"/>
              <w:end w:w="120" w:type="dxa"/>
            </w:tcMar>
            <w:vAlign w:val="top"/>
          </w:tcPr>
          <w:p>
            <w:pPr>
              <w:spacing w:after="0" w:line="264" w:lineRule="auto"/>
            </w:pPr>
            <w:r>
              <w:rPr>
                <w:sz w:val="18"/>
              </w:rPr>
              <w:t>Report assistance</w:t>
            </w:r>
          </w:p>
        </w:tc>
        <w:tc>
          <w:tcPr>
            <w:tcW w:type="dxa" w:w="4250"/>
            <w:tcMar>
              <w:top w:w="80" w:type="dxa"/>
              <w:start w:w="120" w:type="dxa"/>
              <w:bottom w:w="80" w:type="dxa"/>
              <w:end w:w="120" w:type="dxa"/>
            </w:tcMar>
            <w:vAlign w:val="top"/>
          </w:tcPr>
          <w:p>
            <w:pPr>
              <w:spacing w:after="0" w:line="264" w:lineRule="auto"/>
            </w:pPr>
            <w:r>
              <w:rPr>
                <w:sz w:val="18"/>
              </w:rPr>
              <w:t>Human-readable explanation based on captured evidence</w:t>
            </w:r>
          </w:p>
        </w:tc>
        <w:tc>
          <w:tcPr>
            <w:tcW w:type="dxa" w:w="3010"/>
            <w:tcMar>
              <w:top w:w="80" w:type="dxa"/>
              <w:start w:w="120" w:type="dxa"/>
              <w:bottom w:w="80" w:type="dxa"/>
              <w:end w:w="120" w:type="dxa"/>
            </w:tcMar>
            <w:vAlign w:val="top"/>
          </w:tcPr>
          <w:p>
            <w:pPr>
              <w:spacing w:after="0" w:line="264" w:lineRule="auto"/>
            </w:pPr>
            <w:r>
              <w:rPr>
                <w:sz w:val="18"/>
              </w:rPr>
              <w:t>Final HTML is built by application code, not accepted as arbitrary LLM HTML</w:t>
            </w:r>
          </w:p>
        </w:tc>
      </w:tr>
    </w:tbl>
    <w:p>
      <w:pPr>
        <w:spacing w:after="0"/>
      </w:pPr>
    </w:p>
    <w:p>
      <w:pPr>
        <w:pStyle w:val="Heading2"/>
      </w:pPr>
      <w:r>
        <w:t>8.2 Retrieval-augmented generation</w:t>
      </w:r>
    </w:p>
    <w:p>
      <w:r>
        <w:t>agent/rag.py uses LlamaIndex with the BAAI/bge-small-en-v1.5 HuggingFace embedding model. Each incident text is represented as a 384-dimensional vector and stored in PostgreSQL through pgvector. The physical vector table is data_incident_vectors. Similarity search is compared with a 0.85 threshold: high-confidence knowledge can be reused; otherwise the system retains the newly generated resolution for future incidents.</w:t>
      </w:r>
    </w:p>
    <w:tbl>
      <w:tblPr>
        <w:tblW w:type="auto" w:w="0"/>
        <w:jc w:val="center"/>
        <w:tblLayout w:type="fixed"/>
        <w:tblLook w:firstColumn="1" w:firstRow="1" w:lastColumn="0" w:lastRow="0" w:noHBand="0" w:noVBand="1" w:val="04A0"/>
      </w:tblPr>
      <w:tblGrid>
        <w:gridCol w:w="9360"/>
      </w:tblGrid>
      <w:tr>
        <w:trPr>
          <w:cantSplit/>
        </w:trPr>
        <w:tc>
          <w:tcPr>
            <w:tcW w:type="dxa" w:w="9360"/>
            <w:tcMar>
              <w:top w:w="120" w:type="dxa"/>
              <w:start w:w="160" w:type="dxa"/>
              <w:bottom w:w="120" w:type="dxa"/>
              <w:end w:w="160" w:type="dxa"/>
            </w:tcMar>
            <w:shd w:fill="F6F8FA"/>
          </w:tcPr>
          <w:p>
            <w:pPr>
              <w:spacing w:after="0" w:line="240" w:lineRule="auto"/>
            </w:pPr>
            <w:r>
              <w:rPr>
                <w:rFonts w:ascii="Liberation Mono" w:hAnsi="Liberation Mono"/>
                <w:color w:val="0B2545"/>
                <w:sz w:val="17"/>
              </w:rPr>
              <w:t>New failure text</w:t>
            </w:r>
            <w:r>
              <w:br/>
            </w:r>
            <w:r>
              <w:rPr>
                <w:rFonts w:ascii="Liberation Mono" w:hAnsi="Liberation Mono"/>
                <w:color w:val="0B2545"/>
                <w:sz w:val="17"/>
              </w:rPr>
              <w:t xml:space="preserve">   │</w:t>
            </w:r>
            <w:r>
              <w:br/>
            </w:r>
            <w:r>
              <w:rPr>
                <w:rFonts w:ascii="Liberation Mono" w:hAnsi="Liberation Mono"/>
                <w:color w:val="0B2545"/>
                <w:sz w:val="17"/>
              </w:rPr>
              <w:t xml:space="preserve">   ├── embed with BAAI/bge-small-en-v1.5 (384 dimensions)</w:t>
            </w:r>
            <w:r>
              <w:br/>
            </w:r>
            <w:r>
              <w:rPr>
                <w:rFonts w:ascii="Liberation Mono" w:hAnsi="Liberation Mono"/>
                <w:color w:val="0B2545"/>
                <w:sz w:val="17"/>
              </w:rPr>
              <w:t xml:space="preserve">   ├── search PostgreSQL pgvector index</w:t>
            </w:r>
            <w:r>
              <w:br/>
            </w:r>
            <w:r>
              <w:rPr>
                <w:rFonts w:ascii="Liberation Mono" w:hAnsi="Liberation Mono"/>
                <w:color w:val="0B2545"/>
                <w:sz w:val="17"/>
              </w:rPr>
              <w:t xml:space="preserve">   ├── similarity ≥ 0.85 ──► reuse known resolution</w:t>
            </w:r>
            <w:r>
              <w:br/>
            </w:r>
            <w:r>
              <w:rPr>
                <w:rFonts w:ascii="Liberation Mono" w:hAnsi="Liberation Mono"/>
                <w:color w:val="0B2545"/>
                <w:sz w:val="17"/>
              </w:rPr>
              <w:t xml:space="preserve">   └── similarity &lt; 0.85 ──► use LLM resolution and promote as new knowledge</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4F8FC"/>
          </w:tcPr>
          <w:p>
            <w:pPr>
              <w:spacing w:after="60"/>
            </w:pPr>
            <w:r>
              <w:rPr>
                <w:b/>
                <w:color w:val="0B2545"/>
              </w:rPr>
              <w:t>Why both rules and AI?</w:t>
            </w:r>
          </w:p>
          <w:p>
            <w:pPr>
              <w:spacing w:after="0" w:line="276" w:lineRule="auto"/>
            </w:pPr>
            <w:r>
              <w:t>Rules give predictable detection and safety boundaries. The LLM adds summarization and diagnostic reasoning. RAG grounds proposed fixes in the project’s own prior incidents. None of these layers is allowed to bypass the HITL execution gate.</w:t>
            </w:r>
          </w:p>
        </w:tc>
      </w:tr>
    </w:tbl>
    <w:p>
      <w:pPr>
        <w:spacing w:after="0"/>
      </w:pPr>
    </w:p>
    <w:p>
      <w:pPr>
        <w:pStyle w:val="Heading1"/>
      </w:pPr>
      <w:r>
        <w:t>9. Persistence and PostgreSQL</w:t>
      </w:r>
    </w:p>
    <w:p>
      <w:r>
        <w:t>agent/db.py creates the SQLAlchemy engine, sessions, initialization, and health checks. agent/models.py defines the relational audit model. PostgreSQL stores relational identifiers and timestamps alongside JSONB snapshots; pgvector stores semantic incident embeddings.</w:t>
      </w:r>
    </w:p>
    <w:tbl>
      <w:tblPr>
        <w:tblW w:type="dxa" w:w="9360"/>
        <w:jc w:val="center"/>
        <w:tblLayout w:type="fixed"/>
        <w:tblLook w:firstColumn="1" w:firstRow="1" w:lastColumn="0" w:lastRow="0" w:noHBand="0" w:noVBand="1" w:val="04A0"/>
        <w:tblInd w:w="120" w:type="dxa"/>
        <w:tblLayout w:type="fixed"/>
      </w:tblPr>
      <w:tblGrid>
        <w:gridCol w:w="1900"/>
        <w:gridCol w:w="4900"/>
        <w:gridCol w:w="2560"/>
      </w:tblGrid>
      <w:tr>
        <w:trPr>
          <w:tblHeader w:val="true"/>
          <w:cantSplit/>
        </w:trPr>
        <w:tc>
          <w:tcPr>
            <w:tcW w:type="dxa" w:w="1900"/>
            <w:tcMar>
              <w:top w:w="80" w:type="dxa"/>
              <w:start w:w="120" w:type="dxa"/>
              <w:bottom w:w="80" w:type="dxa"/>
              <w:end w:w="120" w:type="dxa"/>
            </w:tcMar>
            <w:shd w:fill="E8EEF5"/>
            <w:vAlign w:val="center"/>
          </w:tcPr>
          <w:p>
            <w:pPr>
              <w:spacing w:after="0"/>
            </w:pPr>
            <w:r>
              <w:rPr>
                <w:b/>
                <w:color w:val="0B2545"/>
                <w:sz w:val="16"/>
              </w:rPr>
              <w:t>Table/model</w:t>
            </w:r>
          </w:p>
        </w:tc>
        <w:tc>
          <w:tcPr>
            <w:tcW w:type="dxa" w:w="4900"/>
            <w:tcMar>
              <w:top w:w="80" w:type="dxa"/>
              <w:start w:w="120" w:type="dxa"/>
              <w:bottom w:w="80" w:type="dxa"/>
              <w:end w:w="120" w:type="dxa"/>
            </w:tcMar>
            <w:shd w:fill="E8EEF5"/>
            <w:vAlign w:val="center"/>
          </w:tcPr>
          <w:p>
            <w:pPr>
              <w:spacing w:after="0"/>
            </w:pPr>
            <w:r>
              <w:rPr>
                <w:b/>
                <w:color w:val="0B2545"/>
                <w:sz w:val="16"/>
              </w:rPr>
              <w:t>Important fields</w:t>
            </w:r>
          </w:p>
        </w:tc>
        <w:tc>
          <w:tcPr>
            <w:tcW w:type="dxa" w:w="2560"/>
            <w:tcMar>
              <w:top w:w="80" w:type="dxa"/>
              <w:start w:w="120" w:type="dxa"/>
              <w:bottom w:w="80" w:type="dxa"/>
              <w:end w:w="120" w:type="dxa"/>
            </w:tcMar>
            <w:shd w:fill="E8EEF5"/>
            <w:vAlign w:val="center"/>
          </w:tcPr>
          <w:p>
            <w:pPr>
              <w:spacing w:after="0"/>
            </w:pPr>
            <w:r>
              <w:rPr>
                <w:b/>
                <w:color w:val="0B2545"/>
                <w:sz w:val="16"/>
              </w:rPr>
              <w:t>Purpose</w:t>
            </w:r>
          </w:p>
        </w:tc>
      </w:tr>
      <w:tr>
        <w:trPr>
          <w:cantSplit/>
        </w:trPr>
        <w:tc>
          <w:tcPr>
            <w:tcW w:type="dxa" w:w="1900"/>
            <w:tcMar>
              <w:top w:w="80" w:type="dxa"/>
              <w:start w:w="120" w:type="dxa"/>
              <w:bottom w:w="80" w:type="dxa"/>
              <w:end w:w="120" w:type="dxa"/>
            </w:tcMar>
            <w:vAlign w:val="top"/>
          </w:tcPr>
          <w:p>
            <w:pPr>
              <w:spacing w:after="0" w:line="264" w:lineRule="auto"/>
            </w:pPr>
            <w:r>
              <w:rPr>
                <w:sz w:val="16"/>
              </w:rPr>
              <w:t>agent_runs</w:t>
            </w:r>
          </w:p>
        </w:tc>
        <w:tc>
          <w:tcPr>
            <w:tcW w:type="dxa" w:w="4900"/>
            <w:tcMar>
              <w:top w:w="80" w:type="dxa"/>
              <w:start w:w="120" w:type="dxa"/>
              <w:bottom w:w="80" w:type="dxa"/>
              <w:end w:w="120" w:type="dxa"/>
            </w:tcMar>
            <w:vAlign w:val="top"/>
          </w:tcPr>
          <w:p>
            <w:pPr>
              <w:spacing w:after="0" w:line="264" w:lineRule="auto"/>
            </w:pPr>
            <w:r>
              <w:rPr>
                <w:sz w:val="16"/>
              </w:rPr>
              <w:t>cluster_name; started_at; collected_at; completed_at; status; failure_count; summary; report_html; email_sent; collection_errors JSONB; raw_snapshot JSONB</w:t>
            </w:r>
          </w:p>
        </w:tc>
        <w:tc>
          <w:tcPr>
            <w:tcW w:type="dxa" w:w="2560"/>
            <w:tcMar>
              <w:top w:w="80" w:type="dxa"/>
              <w:start w:w="120" w:type="dxa"/>
              <w:bottom w:w="80" w:type="dxa"/>
              <w:end w:w="120" w:type="dxa"/>
            </w:tcMar>
            <w:vAlign w:val="top"/>
          </w:tcPr>
          <w:p>
            <w:pPr>
              <w:spacing w:after="0" w:line="264" w:lineRule="auto"/>
            </w:pPr>
            <w:r>
              <w:rPr>
                <w:sz w:val="16"/>
              </w:rPr>
              <w:t>One complete monitoring-cycle record</w:t>
            </w:r>
          </w:p>
        </w:tc>
      </w:tr>
      <w:tr>
        <w:trPr>
          <w:cantSplit/>
        </w:trPr>
        <w:tc>
          <w:tcPr>
            <w:tcW w:type="dxa" w:w="1900"/>
            <w:tcMar>
              <w:top w:w="80" w:type="dxa"/>
              <w:start w:w="120" w:type="dxa"/>
              <w:bottom w:w="80" w:type="dxa"/>
              <w:end w:w="120" w:type="dxa"/>
            </w:tcMar>
            <w:vAlign w:val="top"/>
            <w:shd w:fill="FAFBFC"/>
          </w:tcPr>
          <w:p>
            <w:pPr>
              <w:spacing w:after="0" w:line="264" w:lineRule="auto"/>
            </w:pPr>
            <w:r>
              <w:rPr>
                <w:sz w:val="16"/>
              </w:rPr>
              <w:t>failures</w:t>
            </w:r>
          </w:p>
        </w:tc>
        <w:tc>
          <w:tcPr>
            <w:tcW w:type="dxa" w:w="4900"/>
            <w:tcMar>
              <w:top w:w="80" w:type="dxa"/>
              <w:start w:w="120" w:type="dxa"/>
              <w:bottom w:w="80" w:type="dxa"/>
              <w:end w:w="120" w:type="dxa"/>
            </w:tcMar>
            <w:vAlign w:val="top"/>
            <w:shd w:fill="FAFBFC"/>
          </w:tcPr>
          <w:p>
            <w:pPr>
              <w:spacing w:after="0" w:line="264" w:lineRule="auto"/>
            </w:pPr>
            <w:r>
              <w:rPr>
                <w:sz w:val="16"/>
              </w:rPr>
              <w:t>run_id; failure_ref; component; resource_name; severity; message; detected_at</w:t>
            </w:r>
          </w:p>
        </w:tc>
        <w:tc>
          <w:tcPr>
            <w:tcW w:type="dxa" w:w="2560"/>
            <w:tcMar>
              <w:top w:w="80" w:type="dxa"/>
              <w:start w:w="120" w:type="dxa"/>
              <w:bottom w:w="80" w:type="dxa"/>
              <w:end w:w="120" w:type="dxa"/>
            </w:tcMar>
            <w:vAlign w:val="top"/>
            <w:shd w:fill="FAFBFC"/>
          </w:tcPr>
          <w:p>
            <w:pPr>
              <w:spacing w:after="0" w:line="264" w:lineRule="auto"/>
            </w:pPr>
            <w:r>
              <w:rPr>
                <w:sz w:val="16"/>
              </w:rPr>
              <w:t>Normalized failures linked to a run</w:t>
            </w:r>
          </w:p>
        </w:tc>
      </w:tr>
      <w:tr>
        <w:trPr>
          <w:cantSplit/>
        </w:trPr>
        <w:tc>
          <w:tcPr>
            <w:tcW w:type="dxa" w:w="1900"/>
            <w:tcMar>
              <w:top w:w="80" w:type="dxa"/>
              <w:start w:w="120" w:type="dxa"/>
              <w:bottom w:w="80" w:type="dxa"/>
              <w:end w:w="120" w:type="dxa"/>
            </w:tcMar>
            <w:vAlign w:val="top"/>
          </w:tcPr>
          <w:p>
            <w:pPr>
              <w:spacing w:after="0" w:line="264" w:lineRule="auto"/>
            </w:pPr>
            <w:r>
              <w:rPr>
                <w:sz w:val="16"/>
              </w:rPr>
              <w:t>resolutions</w:t>
            </w:r>
          </w:p>
        </w:tc>
        <w:tc>
          <w:tcPr>
            <w:tcW w:type="dxa" w:w="4900"/>
            <w:tcMar>
              <w:top w:w="80" w:type="dxa"/>
              <w:start w:w="120" w:type="dxa"/>
              <w:bottom w:w="80" w:type="dxa"/>
              <w:end w:w="120" w:type="dxa"/>
            </w:tcMar>
            <w:vAlign w:val="top"/>
          </w:tcPr>
          <w:p>
            <w:pPr>
              <w:spacing w:after="0" w:line="264" w:lineRule="auto"/>
            </w:pPr>
            <w:r>
              <w:rPr>
                <w:sz w:val="16"/>
              </w:rPr>
              <w:t>failure_id; root_cause; steps JSONB; commands JSONB; docs_ref</w:t>
            </w:r>
          </w:p>
        </w:tc>
        <w:tc>
          <w:tcPr>
            <w:tcW w:type="dxa" w:w="2560"/>
            <w:tcMar>
              <w:top w:w="80" w:type="dxa"/>
              <w:start w:w="120" w:type="dxa"/>
              <w:bottom w:w="80" w:type="dxa"/>
              <w:end w:w="120" w:type="dxa"/>
            </w:tcMar>
            <w:vAlign w:val="top"/>
          </w:tcPr>
          <w:p>
            <w:pPr>
              <w:spacing w:after="0" w:line="264" w:lineRule="auto"/>
            </w:pPr>
            <w:r>
              <w:rPr>
                <w:sz w:val="16"/>
              </w:rPr>
              <w:t>One resolution package per failure</w:t>
            </w:r>
          </w:p>
        </w:tc>
      </w:tr>
      <w:tr>
        <w:trPr>
          <w:cantSplit/>
        </w:trPr>
        <w:tc>
          <w:tcPr>
            <w:tcW w:type="dxa" w:w="1900"/>
            <w:tcMar>
              <w:top w:w="80" w:type="dxa"/>
              <w:start w:w="120" w:type="dxa"/>
              <w:bottom w:w="80" w:type="dxa"/>
              <w:end w:w="120" w:type="dxa"/>
            </w:tcMar>
            <w:vAlign w:val="top"/>
            <w:shd w:fill="FAFBFC"/>
          </w:tcPr>
          <w:p>
            <w:pPr>
              <w:spacing w:after="0" w:line="264" w:lineRule="auto"/>
            </w:pPr>
            <w:r>
              <w:rPr>
                <w:sz w:val="16"/>
              </w:rPr>
              <w:t>incidents</w:t>
            </w:r>
          </w:p>
        </w:tc>
        <w:tc>
          <w:tcPr>
            <w:tcW w:type="dxa" w:w="4900"/>
            <w:tcMar>
              <w:top w:w="80" w:type="dxa"/>
              <w:start w:w="120" w:type="dxa"/>
              <w:bottom w:w="80" w:type="dxa"/>
              <w:end w:w="120" w:type="dxa"/>
            </w:tcMar>
            <w:vAlign w:val="top"/>
            <w:shd w:fill="FAFBFC"/>
          </w:tcPr>
          <w:p>
            <w:pPr>
              <w:spacing w:after="0" w:line="264" w:lineRule="auto"/>
            </w:pPr>
            <w:r>
              <w:rPr>
                <w:sz w:val="16"/>
              </w:rPr>
              <w:t>incident_id; title; component; severity; description; root_cause; resolution_steps; commands; docs_ref; occurred_at; indexed</w:t>
            </w:r>
          </w:p>
        </w:tc>
        <w:tc>
          <w:tcPr>
            <w:tcW w:type="dxa" w:w="2560"/>
            <w:tcMar>
              <w:top w:w="80" w:type="dxa"/>
              <w:start w:w="120" w:type="dxa"/>
              <w:bottom w:w="80" w:type="dxa"/>
              <w:end w:w="120" w:type="dxa"/>
            </w:tcMar>
            <w:vAlign w:val="top"/>
            <w:shd w:fill="FAFBFC"/>
          </w:tcPr>
          <w:p>
            <w:pPr>
              <w:spacing w:after="0" w:line="264" w:lineRule="auto"/>
            </w:pPr>
            <w:r>
              <w:rPr>
                <w:sz w:val="16"/>
              </w:rPr>
              <w:t>Reusable incident knowledge and index state</w:t>
            </w:r>
          </w:p>
        </w:tc>
      </w:tr>
      <w:tr>
        <w:trPr>
          <w:cantSplit/>
        </w:trPr>
        <w:tc>
          <w:tcPr>
            <w:tcW w:type="dxa" w:w="1900"/>
            <w:tcMar>
              <w:top w:w="80" w:type="dxa"/>
              <w:start w:w="120" w:type="dxa"/>
              <w:bottom w:w="80" w:type="dxa"/>
              <w:end w:w="120" w:type="dxa"/>
            </w:tcMar>
            <w:vAlign w:val="top"/>
          </w:tcPr>
          <w:p>
            <w:pPr>
              <w:spacing w:after="0" w:line="264" w:lineRule="auto"/>
            </w:pPr>
            <w:r>
              <w:rPr>
                <w:sz w:val="16"/>
              </w:rPr>
              <w:t>remediation_requests</w:t>
            </w:r>
          </w:p>
        </w:tc>
        <w:tc>
          <w:tcPr>
            <w:tcW w:type="dxa" w:w="4900"/>
            <w:tcMar>
              <w:top w:w="80" w:type="dxa"/>
              <w:start w:w="120" w:type="dxa"/>
              <w:bottom w:w="80" w:type="dxa"/>
              <w:end w:w="120" w:type="dxa"/>
            </w:tcMar>
            <w:vAlign w:val="top"/>
          </w:tcPr>
          <w:p>
            <w:pPr>
              <w:spacing w:after="0" w:line="264" w:lineRule="auto"/>
            </w:pPr>
            <w:r>
              <w:rPr>
                <w:sz w:val="16"/>
              </w:rPr>
              <w:t>target/action/reason; requester/approver; decision; status; execution_mode; result; pre_state/post_state/audit_trail JSONB; timestamps</w:t>
            </w:r>
          </w:p>
        </w:tc>
        <w:tc>
          <w:tcPr>
            <w:tcW w:type="dxa" w:w="2560"/>
            <w:tcMar>
              <w:top w:w="80" w:type="dxa"/>
              <w:start w:w="120" w:type="dxa"/>
              <w:bottom w:w="80" w:type="dxa"/>
              <w:end w:w="120" w:type="dxa"/>
            </w:tcMar>
            <w:vAlign w:val="top"/>
          </w:tcPr>
          <w:p>
            <w:pPr>
              <w:spacing w:after="0" w:line="264" w:lineRule="auto"/>
            </w:pPr>
            <w:r>
              <w:rPr>
                <w:sz w:val="16"/>
              </w:rPr>
              <w:t>Full HITL approval and execution audit</w:t>
            </w:r>
          </w:p>
        </w:tc>
      </w:tr>
      <w:tr>
        <w:trPr>
          <w:cantSplit/>
        </w:trPr>
        <w:tc>
          <w:tcPr>
            <w:tcW w:type="dxa" w:w="1900"/>
            <w:tcMar>
              <w:top w:w="80" w:type="dxa"/>
              <w:start w:w="120" w:type="dxa"/>
              <w:bottom w:w="80" w:type="dxa"/>
              <w:end w:w="120" w:type="dxa"/>
            </w:tcMar>
            <w:vAlign w:val="top"/>
            <w:shd w:fill="FAFBFC"/>
          </w:tcPr>
          <w:p>
            <w:pPr>
              <w:spacing w:after="0" w:line="264" w:lineRule="auto"/>
            </w:pPr>
            <w:r>
              <w:rPr>
                <w:sz w:val="16"/>
              </w:rPr>
              <w:t>data_incident_vectors</w:t>
            </w:r>
          </w:p>
        </w:tc>
        <w:tc>
          <w:tcPr>
            <w:tcW w:type="dxa" w:w="4900"/>
            <w:tcMar>
              <w:top w:w="80" w:type="dxa"/>
              <w:start w:w="120" w:type="dxa"/>
              <w:bottom w:w="80" w:type="dxa"/>
              <w:end w:w="120" w:type="dxa"/>
            </w:tcMar>
            <w:vAlign w:val="top"/>
            <w:shd w:fill="FAFBFC"/>
          </w:tcPr>
          <w:p>
            <w:pPr>
              <w:spacing w:after="0" w:line="264" w:lineRule="auto"/>
            </w:pPr>
            <w:r>
              <w:rPr>
                <w:sz w:val="16"/>
              </w:rPr>
              <w:t>LlamaIndex-managed text/vector metadata</w:t>
            </w:r>
          </w:p>
        </w:tc>
        <w:tc>
          <w:tcPr>
            <w:tcW w:type="dxa" w:w="2560"/>
            <w:tcMar>
              <w:top w:w="80" w:type="dxa"/>
              <w:start w:w="120" w:type="dxa"/>
              <w:bottom w:w="80" w:type="dxa"/>
              <w:end w:w="120" w:type="dxa"/>
            </w:tcMar>
            <w:vAlign w:val="top"/>
            <w:shd w:fill="FAFBFC"/>
          </w:tcPr>
          <w:p>
            <w:pPr>
              <w:spacing w:after="0" w:line="264" w:lineRule="auto"/>
            </w:pPr>
            <w:r>
              <w:rPr>
                <w:sz w:val="16"/>
              </w:rPr>
              <w:t>384-dimensional semantic retrieval store</w:t>
            </w:r>
          </w:p>
        </w:tc>
      </w:tr>
    </w:tbl>
    <w:p>
      <w:pPr>
        <w:spacing w:after="0"/>
      </w:pPr>
    </w:p>
    <w:p>
      <w:pPr>
        <w:pStyle w:val="Heading2"/>
      </w:pPr>
      <w:r>
        <w:t>Relationships and lifecycle</w:t>
      </w:r>
    </w:p>
    <w:p>
      <w:pPr>
        <w:numPr>
          <w:ilvl w:val="0"/>
          <w:numId w:val="10"/>
        </w:numPr>
        <w:spacing w:after="80" w:line="300" w:lineRule="auto"/>
      </w:pPr>
      <w:r>
        <w:t>AgentRun → Failure is one-to-many. Deleting a run cascades to its failures.</w:t>
      </w:r>
    </w:p>
    <w:p>
      <w:pPr>
        <w:numPr>
          <w:ilvl w:val="0"/>
          <w:numId w:val="10"/>
        </w:numPr>
        <w:spacing w:after="80" w:line="300" w:lineRule="auto"/>
      </w:pPr>
      <w:r>
        <w:t>Failure → Resolution is effectively one-to-one through a unique failure_id and cascades with the failure.</w:t>
      </w:r>
    </w:p>
    <w:p>
      <w:pPr>
        <w:numPr>
          <w:ilvl w:val="0"/>
          <w:numId w:val="10"/>
        </w:numPr>
        <w:spacing w:after="80" w:line="300" w:lineRule="auto"/>
      </w:pPr>
      <w:r>
        <w:t>RemediationRequest may reference a failure; deleting the failure sets that reference to null so the approval audit survives.</w:t>
      </w:r>
    </w:p>
    <w:p>
      <w:pPr>
        <w:numPr>
          <w:ilvl w:val="0"/>
          <w:numId w:val="10"/>
        </w:numPr>
        <w:spacing w:after="80" w:line="300" w:lineRule="auto"/>
      </w:pPr>
      <w:r>
        <w:t>Incident knowledge has a unique incident_id and an indexed flag, keeping semantic indexing distinct from relational persistence.</w:t>
      </w:r>
    </w:p>
    <w:p>
      <w:pPr>
        <w:pStyle w:val="Heading2"/>
      </w:pPr>
      <w:r>
        <w:t>pgAdmin connection for local inspection</w:t>
      </w:r>
    </w:p>
    <w:tbl>
      <w:tblPr>
        <w:tblW w:type="dxa" w:w="9360"/>
        <w:jc w:val="center"/>
        <w:tblLayout w:type="fixed"/>
        <w:tblLook w:firstColumn="1" w:firstRow="1" w:lastColumn="0" w:lastRow="0" w:noHBand="0" w:noVBand="1" w:val="04A0"/>
        <w:tblInd w:w="120" w:type="dxa"/>
        <w:tblLayout w:type="fixed"/>
      </w:tblPr>
      <w:tblGrid>
        <w:gridCol w:w="2500"/>
        <w:gridCol w:w="6860"/>
      </w:tblGrid>
      <w:tr>
        <w:trPr>
          <w:tblHeader w:val="true"/>
          <w:cantSplit/>
        </w:trPr>
        <w:tc>
          <w:tcPr>
            <w:tcW w:type="dxa" w:w="2500"/>
            <w:tcMar>
              <w:top w:w="80" w:type="dxa"/>
              <w:start w:w="120" w:type="dxa"/>
              <w:bottom w:w="80" w:type="dxa"/>
              <w:end w:w="120" w:type="dxa"/>
            </w:tcMar>
            <w:shd w:fill="E8EEF5"/>
            <w:vAlign w:val="center"/>
          </w:tcPr>
          <w:p>
            <w:pPr>
              <w:spacing w:after="0"/>
            </w:pPr>
            <w:r>
              <w:rPr>
                <w:b/>
                <w:color w:val="0B2545"/>
                <w:sz w:val="18"/>
              </w:rPr>
              <w:t>Field</w:t>
            </w:r>
          </w:p>
        </w:tc>
        <w:tc>
          <w:tcPr>
            <w:tcW w:type="dxa" w:w="6860"/>
            <w:tcMar>
              <w:top w:w="80" w:type="dxa"/>
              <w:start w:w="120" w:type="dxa"/>
              <w:bottom w:w="80" w:type="dxa"/>
              <w:end w:w="120" w:type="dxa"/>
            </w:tcMar>
            <w:shd w:fill="E8EEF5"/>
            <w:vAlign w:val="center"/>
          </w:tcPr>
          <w:p>
            <w:pPr>
              <w:spacing w:after="0"/>
            </w:pPr>
            <w:r>
              <w:rPr>
                <w:b/>
                <w:color w:val="0B2545"/>
                <w:sz w:val="18"/>
              </w:rPr>
              <w:t>Local value</w:t>
            </w:r>
          </w:p>
        </w:tc>
      </w:tr>
      <w:tr>
        <w:trPr>
          <w:cantSplit/>
        </w:trPr>
        <w:tc>
          <w:tcPr>
            <w:tcW w:type="dxa" w:w="2500"/>
            <w:tcMar>
              <w:top w:w="80" w:type="dxa"/>
              <w:start w:w="120" w:type="dxa"/>
              <w:bottom w:w="80" w:type="dxa"/>
              <w:end w:w="120" w:type="dxa"/>
            </w:tcMar>
            <w:vAlign w:val="top"/>
          </w:tcPr>
          <w:p>
            <w:pPr>
              <w:spacing w:after="0" w:line="264" w:lineRule="auto"/>
            </w:pPr>
            <w:r>
              <w:rPr>
                <w:sz w:val="18"/>
              </w:rPr>
              <w:t>Host</w:t>
            </w:r>
          </w:p>
        </w:tc>
        <w:tc>
          <w:tcPr>
            <w:tcW w:type="dxa" w:w="6860"/>
            <w:tcMar>
              <w:top w:w="80" w:type="dxa"/>
              <w:start w:w="120" w:type="dxa"/>
              <w:bottom w:w="80" w:type="dxa"/>
              <w:end w:w="120" w:type="dxa"/>
            </w:tcMar>
            <w:vAlign w:val="top"/>
          </w:tcPr>
          <w:p>
            <w:pPr>
              <w:spacing w:after="0" w:line="264" w:lineRule="auto"/>
            </w:pPr>
            <w:r>
              <w:rPr>
                <w:sz w:val="18"/>
              </w:rPr>
              <w:t>127.0.0.1</w:t>
            </w:r>
          </w:p>
        </w:tc>
      </w:tr>
      <w:tr>
        <w:trPr>
          <w:cantSplit/>
        </w:trPr>
        <w:tc>
          <w:tcPr>
            <w:tcW w:type="dxa" w:w="2500"/>
            <w:tcMar>
              <w:top w:w="80" w:type="dxa"/>
              <w:start w:w="120" w:type="dxa"/>
              <w:bottom w:w="80" w:type="dxa"/>
              <w:end w:w="120" w:type="dxa"/>
            </w:tcMar>
            <w:vAlign w:val="top"/>
            <w:shd w:fill="FAFBFC"/>
          </w:tcPr>
          <w:p>
            <w:pPr>
              <w:spacing w:after="0" w:line="264" w:lineRule="auto"/>
            </w:pPr>
            <w:r>
              <w:rPr>
                <w:sz w:val="18"/>
              </w:rPr>
              <w:t>Port</w:t>
            </w:r>
          </w:p>
        </w:tc>
        <w:tc>
          <w:tcPr>
            <w:tcW w:type="dxa" w:w="6860"/>
            <w:tcMar>
              <w:top w:w="80" w:type="dxa"/>
              <w:start w:w="120" w:type="dxa"/>
              <w:bottom w:w="80" w:type="dxa"/>
              <w:end w:w="120" w:type="dxa"/>
            </w:tcMar>
            <w:vAlign w:val="top"/>
            <w:shd w:fill="FAFBFC"/>
          </w:tcPr>
          <w:p>
            <w:pPr>
              <w:spacing w:after="0" w:line="264" w:lineRule="auto"/>
            </w:pPr>
            <w:r>
              <w:rPr>
                <w:sz w:val="18"/>
              </w:rPr>
              <w:t>5437</w:t>
            </w:r>
          </w:p>
        </w:tc>
      </w:tr>
      <w:tr>
        <w:trPr>
          <w:cantSplit/>
        </w:trPr>
        <w:tc>
          <w:tcPr>
            <w:tcW w:type="dxa" w:w="2500"/>
            <w:tcMar>
              <w:top w:w="80" w:type="dxa"/>
              <w:start w:w="120" w:type="dxa"/>
              <w:bottom w:w="80" w:type="dxa"/>
              <w:end w:w="120" w:type="dxa"/>
            </w:tcMar>
            <w:vAlign w:val="top"/>
          </w:tcPr>
          <w:p>
            <w:pPr>
              <w:spacing w:after="0" w:line="264" w:lineRule="auto"/>
            </w:pPr>
            <w:r>
              <w:rPr>
                <w:sz w:val="18"/>
              </w:rPr>
              <w:t>Maintenance database</w:t>
            </w:r>
          </w:p>
        </w:tc>
        <w:tc>
          <w:tcPr>
            <w:tcW w:type="dxa" w:w="6860"/>
            <w:tcMar>
              <w:top w:w="80" w:type="dxa"/>
              <w:start w:w="120" w:type="dxa"/>
              <w:bottom w:w="80" w:type="dxa"/>
              <w:end w:w="120" w:type="dxa"/>
            </w:tcMar>
            <w:vAlign w:val="top"/>
          </w:tcPr>
          <w:p>
            <w:pPr>
              <w:spacing w:after="0" w:line="264" w:lineRule="auto"/>
            </w:pPr>
            <w:r>
              <w:rPr>
                <w:sz w:val="18"/>
              </w:rPr>
              <w:t>ocp_monitor</w:t>
            </w:r>
          </w:p>
        </w:tc>
      </w:tr>
      <w:tr>
        <w:trPr>
          <w:cantSplit/>
        </w:trPr>
        <w:tc>
          <w:tcPr>
            <w:tcW w:type="dxa" w:w="2500"/>
            <w:tcMar>
              <w:top w:w="80" w:type="dxa"/>
              <w:start w:w="120" w:type="dxa"/>
              <w:bottom w:w="80" w:type="dxa"/>
              <w:end w:w="120" w:type="dxa"/>
            </w:tcMar>
            <w:vAlign w:val="top"/>
            <w:shd w:fill="FAFBFC"/>
          </w:tcPr>
          <w:p>
            <w:pPr>
              <w:spacing w:after="0" w:line="264" w:lineRule="auto"/>
            </w:pPr>
            <w:r>
              <w:rPr>
                <w:sz w:val="18"/>
              </w:rPr>
              <w:t>Username</w:t>
            </w:r>
          </w:p>
        </w:tc>
        <w:tc>
          <w:tcPr>
            <w:tcW w:type="dxa" w:w="6860"/>
            <w:tcMar>
              <w:top w:w="80" w:type="dxa"/>
              <w:start w:w="120" w:type="dxa"/>
              <w:bottom w:w="80" w:type="dxa"/>
              <w:end w:w="120" w:type="dxa"/>
            </w:tcMar>
            <w:vAlign w:val="top"/>
            <w:shd w:fill="FAFBFC"/>
          </w:tcPr>
          <w:p>
            <w:pPr>
              <w:spacing w:after="0" w:line="264" w:lineRule="auto"/>
            </w:pPr>
            <w:r>
              <w:rPr>
                <w:sz w:val="18"/>
              </w:rPr>
              <w:t>ocp_agent</w:t>
            </w:r>
          </w:p>
        </w:tc>
      </w:tr>
      <w:tr>
        <w:trPr>
          <w:cantSplit/>
        </w:trPr>
        <w:tc>
          <w:tcPr>
            <w:tcW w:type="dxa" w:w="2500"/>
            <w:tcMar>
              <w:top w:w="80" w:type="dxa"/>
              <w:start w:w="120" w:type="dxa"/>
              <w:bottom w:w="80" w:type="dxa"/>
              <w:end w:w="120" w:type="dxa"/>
            </w:tcMar>
            <w:vAlign w:val="top"/>
          </w:tcPr>
          <w:p>
            <w:pPr>
              <w:spacing w:after="0" w:line="264" w:lineRule="auto"/>
            </w:pPr>
            <w:r>
              <w:rPr>
                <w:sz w:val="18"/>
              </w:rPr>
              <w:t>Password</w:t>
            </w:r>
          </w:p>
        </w:tc>
        <w:tc>
          <w:tcPr>
            <w:tcW w:type="dxa" w:w="6860"/>
            <w:tcMar>
              <w:top w:w="80" w:type="dxa"/>
              <w:start w:w="120" w:type="dxa"/>
              <w:bottom w:w="80" w:type="dxa"/>
              <w:end w:w="120" w:type="dxa"/>
            </w:tcMar>
            <w:vAlign w:val="top"/>
          </w:tcPr>
          <w:p>
            <w:pPr>
              <w:spacing w:after="0" w:line="264" w:lineRule="auto"/>
            </w:pPr>
            <w:r>
              <w:rPr>
                <w:sz w:val="18"/>
              </w:rPr>
              <w:t>Read the local .env value; never copy it into documentation or source control</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20" w:type="dxa"/>
              <w:start w:w="160" w:type="dxa"/>
              <w:bottom w:w="120" w:type="dxa"/>
              <w:end w:w="160" w:type="dxa"/>
            </w:tcMar>
            <w:shd w:fill="F6F8FA"/>
          </w:tcPr>
          <w:p>
            <w:pPr>
              <w:spacing w:after="0" w:line="240" w:lineRule="auto"/>
            </w:pPr>
            <w:r>
              <w:rPr>
                <w:rFonts w:ascii="Liberation Mono" w:hAnsi="Liberation Mono"/>
                <w:color w:val="0B2545"/>
                <w:sz w:val="17"/>
              </w:rPr>
              <w:t>SELECT id, cluster_name, status, failure_count, completed_at</w:t>
            </w:r>
            <w:r>
              <w:br/>
            </w:r>
            <w:r>
              <w:rPr>
                <w:rFonts w:ascii="Liberation Mono" w:hAnsi="Liberation Mono"/>
                <w:color w:val="0B2545"/>
                <w:sz w:val="17"/>
              </w:rPr>
              <w:t>FROM agent_runs</w:t>
            </w:r>
            <w:r>
              <w:br/>
            </w:r>
            <w:r>
              <w:rPr>
                <w:rFonts w:ascii="Liberation Mono" w:hAnsi="Liberation Mono"/>
                <w:color w:val="0B2545"/>
                <w:sz w:val="17"/>
              </w:rPr>
              <w:t>ORDER BY completed_at DESC</w:t>
            </w:r>
            <w:r>
              <w:br/>
            </w:r>
            <w:r>
              <w:rPr>
                <w:rFonts w:ascii="Liberation Mono" w:hAnsi="Liberation Mono"/>
                <w:color w:val="0B2545"/>
                <w:sz w:val="17"/>
              </w:rPr>
              <w:t>LIMIT 20;</w:t>
            </w:r>
            <w:r>
              <w:br/>
            </w:r>
            <w:r>
              <w:rPr>
                <w:rFonts w:ascii="Liberation Mono" w:hAnsi="Liberation Mono"/>
                <w:color w:val="0B2545"/>
                <w:sz w:val="17"/>
              </w:rPr>
            </w:r>
            <w:r>
              <w:br/>
            </w:r>
            <w:r>
              <w:rPr>
                <w:rFonts w:ascii="Liberation Mono" w:hAnsi="Liberation Mono"/>
                <w:color w:val="0B2545"/>
                <w:sz w:val="17"/>
              </w:rPr>
              <w:t>SELECT r.id, r.namespace, r.resource_name, r.status, r.execution_mode, r.created_at</w:t>
            </w:r>
            <w:r>
              <w:br/>
            </w:r>
            <w:r>
              <w:rPr>
                <w:rFonts w:ascii="Liberation Mono" w:hAnsi="Liberation Mono"/>
                <w:color w:val="0B2545"/>
                <w:sz w:val="17"/>
              </w:rPr>
              <w:t>FROM remediation_requests AS r</w:t>
            </w:r>
            <w:r>
              <w:br/>
            </w:r>
            <w:r>
              <w:rPr>
                <w:rFonts w:ascii="Liberation Mono" w:hAnsi="Liberation Mono"/>
                <w:color w:val="0B2545"/>
                <w:sz w:val="17"/>
              </w:rPr>
              <w:t>ORDER BY r.created_at DESC;</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EAF5EE"/>
          </w:tcPr>
          <w:p>
            <w:pPr>
              <w:spacing w:after="60"/>
            </w:pPr>
            <w:r>
              <w:rPr>
                <w:b/>
                <w:color w:val="216E39"/>
              </w:rPr>
              <w:t>Validation snapshot</w:t>
            </w:r>
          </w:p>
          <w:p>
            <w:pPr>
              <w:spacing w:after="0" w:line="276" w:lineRule="auto"/>
            </w:pPr>
            <w:r>
              <w:t>At the last local inspection, the database contained monitoring history in all core tables (agent_runs, failures, resolutions, incidents, remediation_requests) plus the vector table. Counts are operational data and will continue to change; use the queries above for the current truth.</w:t>
            </w:r>
          </w:p>
        </w:tc>
      </w:tr>
    </w:tbl>
    <w:p>
      <w:pPr>
        <w:spacing w:after="0"/>
      </w:pPr>
    </w:p>
    <w:p>
      <w:pPr>
        <w:pStyle w:val="Heading1"/>
      </w:pPr>
      <w:r>
        <w:t>10. Reporting, email, and calendar escalation</w:t>
      </w:r>
    </w:p>
    <w:p>
      <w:pPr>
        <w:pStyle w:val="Heading2"/>
      </w:pPr>
      <w:r>
        <w:t>10.1 HTML report and email</w:t>
      </w:r>
    </w:p>
    <w:p>
      <w:r>
        <w:t>agent/reporter.py converts the final graph state into a self-contained HTML report using inline styles compatible with Gmail. It includes cluster status, timing, summary, collection problems, failures, resolutions, remediation state, and escalation results. agent/emailer.py can deliver through SMTP or SendGrid according to configuration.</w:t>
      </w:r>
    </w:p>
    <w:p>
      <w:pPr>
        <w:numPr>
          <w:ilvl w:val="0"/>
          <w:numId w:val="10"/>
        </w:numPr>
        <w:spacing w:after="80" w:line="300" w:lineRule="auto"/>
      </w:pPr>
      <w:r>
        <w:t>SMTP and real report delivery were verified in the local environment.</w:t>
      </w:r>
    </w:p>
    <w:p>
      <w:pPr>
        <w:numPr>
          <w:ilvl w:val="0"/>
          <w:numId w:val="10"/>
        </w:numPr>
        <w:spacing w:after="80" w:line="300" w:lineRule="auto"/>
      </w:pPr>
      <w:r>
        <w:t>Recipients and credentials come from environment/Secret values; the report does not require the dashboard to be open.</w:t>
      </w:r>
    </w:p>
    <w:p>
      <w:pPr>
        <w:numPr>
          <w:ilvl w:val="0"/>
          <w:numId w:val="10"/>
        </w:numPr>
        <w:spacing w:after="80" w:line="300" w:lineRule="auto"/>
      </w:pPr>
      <w:r>
        <w:t>Sensitive credential values are never written into this document and should not be logged.</w:t>
      </w:r>
    </w:p>
    <w:p>
      <w:pPr>
        <w:pStyle w:val="Heading2"/>
      </w:pPr>
      <w:r>
        <w:t>10.2 Google Calendar and Meet escalation</w:t>
      </w:r>
    </w:p>
    <w:p>
      <w:r>
        <w:t>agent/google_meet.py uses Google OAuth 2.0 credentials and the Calendar API. It inserts an event with a generated Meet conference, explicit summary and description, attendee list, start/end times, and sendUpdates=all so Google can notify attendees.</w:t>
      </w:r>
    </w:p>
    <w:tbl>
      <w:tblPr>
        <w:tblW w:type="dxa" w:w="9360"/>
        <w:jc w:val="center"/>
        <w:tblLayout w:type="fixed"/>
        <w:tblLook w:firstColumn="1" w:firstRow="1" w:lastColumn="0" w:lastRow="0" w:noHBand="0" w:noVBand="1" w:val="04A0"/>
        <w:tblInd w:w="120" w:type="dxa"/>
        <w:tblLayout w:type="fixed"/>
      </w:tblPr>
      <w:tblGrid>
        <w:gridCol w:w="1900"/>
        <w:gridCol w:w="7460"/>
      </w:tblGrid>
      <w:tr>
        <w:trPr>
          <w:tblHeader w:val="true"/>
          <w:cantSplit/>
        </w:trPr>
        <w:tc>
          <w:tcPr>
            <w:tcW w:type="dxa" w:w="1900"/>
            <w:tcMar>
              <w:top w:w="80" w:type="dxa"/>
              <w:start w:w="120" w:type="dxa"/>
              <w:bottom w:w="80" w:type="dxa"/>
              <w:end w:w="120" w:type="dxa"/>
            </w:tcMar>
            <w:shd w:fill="E8EEF5"/>
            <w:vAlign w:val="center"/>
          </w:tcPr>
          <w:p>
            <w:pPr>
              <w:spacing w:after="0"/>
            </w:pPr>
            <w:r>
              <w:rPr>
                <w:b/>
                <w:color w:val="0B2545"/>
                <w:sz w:val="18"/>
              </w:rPr>
              <w:t>Gate</w:t>
            </w:r>
          </w:p>
        </w:tc>
        <w:tc>
          <w:tcPr>
            <w:tcW w:type="dxa" w:w="7460"/>
            <w:tcMar>
              <w:top w:w="80" w:type="dxa"/>
              <w:start w:w="120" w:type="dxa"/>
              <w:bottom w:w="80" w:type="dxa"/>
              <w:end w:w="120" w:type="dxa"/>
            </w:tcMar>
            <w:shd w:fill="E8EEF5"/>
            <w:vAlign w:val="center"/>
          </w:tcPr>
          <w:p>
            <w:pPr>
              <w:spacing w:after="0"/>
            </w:pPr>
            <w:r>
              <w:rPr>
                <w:b/>
                <w:color w:val="0B2545"/>
                <w:sz w:val="18"/>
              </w:rPr>
              <w:t>Required condition</w:t>
            </w:r>
          </w:p>
        </w:tc>
      </w:tr>
      <w:tr>
        <w:trPr>
          <w:cantSplit/>
        </w:trPr>
        <w:tc>
          <w:tcPr>
            <w:tcW w:type="dxa" w:w="1900"/>
            <w:tcMar>
              <w:top w:w="80" w:type="dxa"/>
              <w:start w:w="120" w:type="dxa"/>
              <w:bottom w:w="80" w:type="dxa"/>
              <w:end w:w="120" w:type="dxa"/>
            </w:tcMar>
            <w:vAlign w:val="top"/>
          </w:tcPr>
          <w:p>
            <w:pPr>
              <w:spacing w:after="0" w:line="264" w:lineRule="auto"/>
            </w:pPr>
            <w:r>
              <w:rPr>
                <w:sz w:val="18"/>
              </w:rPr>
              <w:t>Feature flag</w:t>
            </w:r>
          </w:p>
        </w:tc>
        <w:tc>
          <w:tcPr>
            <w:tcW w:type="dxa" w:w="7460"/>
            <w:tcMar>
              <w:top w:w="80" w:type="dxa"/>
              <w:start w:w="120" w:type="dxa"/>
              <w:bottom w:w="80" w:type="dxa"/>
              <w:end w:w="120" w:type="dxa"/>
            </w:tcMar>
            <w:vAlign w:val="top"/>
          </w:tcPr>
          <w:p>
            <w:pPr>
              <w:spacing w:after="0" w:line="264" w:lineRule="auto"/>
            </w:pPr>
            <w:r>
              <w:rPr>
                <w:sz w:val="18"/>
              </w:rPr>
              <w:t>ESCALATION_ENABLED is true.</w:t>
            </w:r>
          </w:p>
        </w:tc>
      </w:tr>
      <w:tr>
        <w:trPr>
          <w:cantSplit/>
        </w:trPr>
        <w:tc>
          <w:tcPr>
            <w:tcW w:type="dxa" w:w="1900"/>
            <w:tcMar>
              <w:top w:w="80" w:type="dxa"/>
              <w:start w:w="120" w:type="dxa"/>
              <w:bottom w:w="80" w:type="dxa"/>
              <w:end w:w="120" w:type="dxa"/>
            </w:tcMar>
            <w:vAlign w:val="top"/>
            <w:shd w:fill="FAFBFC"/>
          </w:tcPr>
          <w:p>
            <w:pPr>
              <w:spacing w:after="0" w:line="264" w:lineRule="auto"/>
            </w:pPr>
            <w:r>
              <w:rPr>
                <w:sz w:val="18"/>
              </w:rPr>
              <w:t>Severity</w:t>
            </w:r>
          </w:p>
        </w:tc>
        <w:tc>
          <w:tcPr>
            <w:tcW w:type="dxa" w:w="7460"/>
            <w:tcMar>
              <w:top w:w="80" w:type="dxa"/>
              <w:start w:w="120" w:type="dxa"/>
              <w:bottom w:w="80" w:type="dxa"/>
              <w:end w:w="120" w:type="dxa"/>
            </w:tcMar>
            <w:vAlign w:val="top"/>
            <w:shd w:fill="FAFBFC"/>
          </w:tcPr>
          <w:p>
            <w:pPr>
              <w:spacing w:after="0" w:line="264" w:lineRule="auto"/>
            </w:pPr>
            <w:r>
              <w:rPr>
                <w:sz w:val="18"/>
              </w:rPr>
              <w:t>At least one individual structured failure has severity CRITICAL; the overall cluster status alone is insufficient.</w:t>
            </w:r>
          </w:p>
        </w:tc>
      </w:tr>
      <w:tr>
        <w:trPr>
          <w:cantSplit/>
        </w:trPr>
        <w:tc>
          <w:tcPr>
            <w:tcW w:type="dxa" w:w="1900"/>
            <w:tcMar>
              <w:top w:w="80" w:type="dxa"/>
              <w:start w:w="120" w:type="dxa"/>
              <w:bottom w:w="80" w:type="dxa"/>
              <w:end w:w="120" w:type="dxa"/>
            </w:tcMar>
            <w:vAlign w:val="top"/>
          </w:tcPr>
          <w:p>
            <w:pPr>
              <w:spacing w:after="0" w:line="264" w:lineRule="auto"/>
            </w:pPr>
            <w:r>
              <w:rPr>
                <w:sz w:val="18"/>
              </w:rPr>
              <w:t>Scope</w:t>
            </w:r>
          </w:p>
        </w:tc>
        <w:tc>
          <w:tcPr>
            <w:tcW w:type="dxa" w:w="7460"/>
            <w:tcMar>
              <w:top w:w="80" w:type="dxa"/>
              <w:start w:w="120" w:type="dxa"/>
              <w:bottom w:w="80" w:type="dxa"/>
              <w:end w:w="120" w:type="dxa"/>
            </w:tcMar>
            <w:vAlign w:val="top"/>
          </w:tcPr>
          <w:p>
            <w:pPr>
              <w:spacing w:after="0" w:line="264" w:lineRule="auto"/>
            </w:pPr>
            <w:r>
              <w:rPr>
                <w:sz w:val="18"/>
              </w:rPr>
              <w:t>The failure’s component/resource/namespace matches ESCALATION_COMPONENTS and configured scope logic.</w:t>
            </w:r>
          </w:p>
        </w:tc>
      </w:tr>
      <w:tr>
        <w:trPr>
          <w:cantSplit/>
        </w:trPr>
        <w:tc>
          <w:tcPr>
            <w:tcW w:type="dxa" w:w="1900"/>
            <w:tcMar>
              <w:top w:w="80" w:type="dxa"/>
              <w:start w:w="120" w:type="dxa"/>
              <w:bottom w:w="80" w:type="dxa"/>
              <w:end w:w="120" w:type="dxa"/>
            </w:tcMar>
            <w:vAlign w:val="top"/>
            <w:shd w:fill="FAFBFC"/>
          </w:tcPr>
          <w:p>
            <w:pPr>
              <w:spacing w:after="0" w:line="264" w:lineRule="auto"/>
            </w:pPr>
            <w:r>
              <w:rPr>
                <w:sz w:val="18"/>
              </w:rPr>
              <w:t>Persistence</w:t>
            </w:r>
          </w:p>
        </w:tc>
        <w:tc>
          <w:tcPr>
            <w:tcW w:type="dxa" w:w="7460"/>
            <w:tcMar>
              <w:top w:w="80" w:type="dxa"/>
              <w:start w:w="120" w:type="dxa"/>
              <w:bottom w:w="80" w:type="dxa"/>
              <w:end w:w="120" w:type="dxa"/>
            </w:tcMar>
            <w:vAlign w:val="top"/>
            <w:shd w:fill="FAFBFC"/>
          </w:tcPr>
          <w:p>
            <w:pPr>
              <w:spacing w:after="0" w:line="264" w:lineRule="auto"/>
            </w:pPr>
            <w:r>
              <w:rPr>
                <w:sz w:val="18"/>
              </w:rPr>
              <w:t>The same component/resource identity remains critical for the configured consecutive cycles (currently 2).</w:t>
            </w:r>
          </w:p>
        </w:tc>
      </w:tr>
      <w:tr>
        <w:trPr>
          <w:cantSplit/>
        </w:trPr>
        <w:tc>
          <w:tcPr>
            <w:tcW w:type="dxa" w:w="1900"/>
            <w:tcMar>
              <w:top w:w="80" w:type="dxa"/>
              <w:start w:w="120" w:type="dxa"/>
              <w:bottom w:w="80" w:type="dxa"/>
              <w:end w:w="120" w:type="dxa"/>
            </w:tcMar>
            <w:vAlign w:val="top"/>
          </w:tcPr>
          <w:p>
            <w:pPr>
              <w:spacing w:after="0" w:line="264" w:lineRule="auto"/>
            </w:pPr>
            <w:r>
              <w:rPr>
                <w:sz w:val="18"/>
              </w:rPr>
              <w:t>Deduplication</w:t>
            </w:r>
          </w:p>
        </w:tc>
        <w:tc>
          <w:tcPr>
            <w:tcW w:type="dxa" w:w="7460"/>
            <w:tcMar>
              <w:top w:w="80" w:type="dxa"/>
              <w:start w:w="120" w:type="dxa"/>
              <w:bottom w:w="80" w:type="dxa"/>
              <w:end w:w="120" w:type="dxa"/>
            </w:tcMar>
            <w:vAlign w:val="top"/>
          </w:tcPr>
          <w:p>
            <w:pPr>
              <w:spacing w:after="0" w:line="264" w:lineRule="auto"/>
            </w:pPr>
            <w:r>
              <w:rPr>
                <w:sz w:val="18"/>
              </w:rPr>
              <w:t>The same critical streak has not already created a meeting.</w:t>
            </w:r>
          </w:p>
        </w:tc>
      </w:tr>
      <w:tr>
        <w:trPr>
          <w:cantSplit/>
        </w:trPr>
        <w:tc>
          <w:tcPr>
            <w:tcW w:type="dxa" w:w="1900"/>
            <w:tcMar>
              <w:top w:w="80" w:type="dxa"/>
              <w:start w:w="120" w:type="dxa"/>
              <w:bottom w:w="80" w:type="dxa"/>
              <w:end w:w="120" w:type="dxa"/>
            </w:tcMar>
            <w:vAlign w:val="top"/>
            <w:shd w:fill="FAFBFC"/>
          </w:tcPr>
          <w:p>
            <w:pPr>
              <w:spacing w:after="0" w:line="264" w:lineRule="auto"/>
            </w:pPr>
            <w:r>
              <w:rPr>
                <w:sz w:val="18"/>
              </w:rPr>
              <w:t>Ownership</w:t>
            </w:r>
          </w:p>
        </w:tc>
        <w:tc>
          <w:tcPr>
            <w:tcW w:type="dxa" w:w="7460"/>
            <w:tcMar>
              <w:top w:w="80" w:type="dxa"/>
              <w:start w:w="120" w:type="dxa"/>
              <w:bottom w:w="80" w:type="dxa"/>
              <w:end w:w="120" w:type="dxa"/>
            </w:tcMar>
            <w:vAlign w:val="top"/>
            <w:shd w:fill="FAFBFC"/>
          </w:tcPr>
          <w:p>
            <w:pPr>
              <w:spacing w:after="0" w:line="264" w:lineRule="auto"/>
            </w:pPr>
            <w:r>
              <w:rPr>
                <w:sz w:val="18"/>
              </w:rPr>
              <w:t>Recipients resolve through escalation_owners.json or the fallback owners list.</w:t>
            </w:r>
          </w:p>
        </w:tc>
      </w:tr>
      <w:tr>
        <w:trPr>
          <w:cantSplit/>
        </w:trPr>
        <w:tc>
          <w:tcPr>
            <w:tcW w:type="dxa" w:w="1900"/>
            <w:tcMar>
              <w:top w:w="80" w:type="dxa"/>
              <w:start w:w="120" w:type="dxa"/>
              <w:bottom w:w="80" w:type="dxa"/>
              <w:end w:w="120" w:type="dxa"/>
            </w:tcMar>
            <w:vAlign w:val="top"/>
          </w:tcPr>
          <w:p>
            <w:pPr>
              <w:spacing w:after="0" w:line="264" w:lineRule="auto"/>
            </w:pPr>
            <w:r>
              <w:rPr>
                <w:sz w:val="18"/>
              </w:rPr>
              <w:t>Credentials</w:t>
            </w:r>
          </w:p>
        </w:tc>
        <w:tc>
          <w:tcPr>
            <w:tcW w:type="dxa" w:w="7460"/>
            <w:tcMar>
              <w:top w:w="80" w:type="dxa"/>
              <w:start w:w="120" w:type="dxa"/>
              <w:bottom w:w="80" w:type="dxa"/>
              <w:end w:w="120" w:type="dxa"/>
            </w:tcMar>
            <w:vAlign w:val="top"/>
          </w:tcPr>
          <w:p>
            <w:pPr>
              <w:spacing w:after="0" w:line="264" w:lineRule="auto"/>
            </w:pPr>
            <w:r>
              <w:rPr>
                <w:sz w:val="18"/>
              </w:rPr>
              <w:t>Google client ID, client secret, refresh token, and calendar identifier are valid.</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FF5D6"/>
          </w:tcPr>
          <w:p>
            <w:pPr>
              <w:spacing w:after="60"/>
            </w:pPr>
            <w:r>
              <w:rPr>
                <w:b/>
                <w:color w:val="9A6A00"/>
              </w:rPr>
              <w:t>Why a critical cluster may not create a meeting</w:t>
            </w:r>
          </w:p>
          <w:p>
            <w:pPr>
              <w:spacing w:after="0" w:line="276" w:lineRule="auto"/>
            </w:pPr>
            <w:r>
              <w:t>A cluster can be summarized as CRITICAL because of a node or storage failure while the configured escalation scope is cp4i. That does not satisfy the component gate, so scheduled_count remains zero. This is deliberate noise control, not a Calendar failure.</w:t>
            </w:r>
          </w:p>
        </w:tc>
      </w:tr>
    </w:tbl>
    <w:p>
      <w:pPr>
        <w:spacing w:after="0"/>
      </w:pPr>
    </w:p>
    <w:p>
      <w:pPr>
        <w:numPr>
          <w:ilvl w:val="0"/>
          <w:numId w:val="10"/>
        </w:numPr>
        <w:spacing w:after="80" w:line="300" w:lineRule="auto"/>
      </w:pPr>
      <w:r>
        <w:t>The integration test created and read back a real event and verified its summary, description, attendees, and Meet link.</w:t>
      </w:r>
    </w:p>
    <w:p>
      <w:pPr>
        <w:numPr>
          <w:ilvl w:val="0"/>
          <w:numId w:val="10"/>
        </w:numPr>
        <w:spacing w:after="80" w:line="300" w:lineRule="auto"/>
      </w:pPr>
      <w:r>
        <w:t>Production ConfigMap currently keeps escalation disabled until production credentials, recipients, component scope, and governance are approved.</w:t>
      </w:r>
    </w:p>
    <w:p>
      <w:pPr>
        <w:pStyle w:val="Heading1"/>
      </w:pPr>
      <w:r>
        <w:t>11. Human-in-the-loop remediation approval</w:t>
      </w:r>
    </w:p>
    <w:p>
      <w:r>
        <w:t>HITL means Human in the Loop. The system may recommend a safe action, but a named human decides whether it is accepted. Approval is not equivalent to immediate execution: execution mode and all safety checks are evaluated separately.</w:t>
      </w:r>
    </w:p>
    <w:tbl>
      <w:tblPr>
        <w:tblW w:type="auto" w:w="0"/>
        <w:jc w:val="center"/>
        <w:tblLayout w:type="fixed"/>
        <w:tblLook w:firstColumn="1" w:firstRow="1" w:lastColumn="0" w:lastRow="0" w:noHBand="0" w:noVBand="1" w:val="04A0"/>
      </w:tblPr>
      <w:tblGrid>
        <w:gridCol w:w="9360"/>
      </w:tblGrid>
      <w:tr>
        <w:trPr>
          <w:cantSplit/>
        </w:trPr>
        <w:tc>
          <w:tcPr>
            <w:tcW w:type="dxa" w:w="9360"/>
            <w:tcMar>
              <w:top w:w="120" w:type="dxa"/>
              <w:start w:w="160" w:type="dxa"/>
              <w:bottom w:w="120" w:type="dxa"/>
              <w:end w:w="160" w:type="dxa"/>
            </w:tcMar>
            <w:shd w:fill="F6F8FA"/>
          </w:tcPr>
          <w:p>
            <w:pPr>
              <w:spacing w:after="0" w:line="240" w:lineRule="auto"/>
            </w:pPr>
            <w:r>
              <w:rPr>
                <w:rFonts w:ascii="Liberation Mono" w:hAnsi="Liberation Mono"/>
                <w:color w:val="0B2545"/>
                <w:sz w:val="17"/>
              </w:rPr>
              <w:t>Failure qualifies for supported action</w:t>
            </w:r>
            <w:r>
              <w:br/>
            </w:r>
            <w:r>
              <w:rPr>
                <w:rFonts w:ascii="Liberation Mono" w:hAnsi="Liberation Mono"/>
                <w:color w:val="0B2545"/>
                <w:sz w:val="17"/>
              </w:rPr>
              <w:t xml:space="preserve">        │</w:t>
            </w:r>
            <w:r>
              <w:br/>
            </w:r>
            <w:r>
              <w:rPr>
                <w:rFonts w:ascii="Liberation Mono" w:hAnsi="Liberation Mono"/>
                <w:color w:val="0B2545"/>
                <w:sz w:val="17"/>
              </w:rPr>
              <w:t xml:space="preserve">        ▼</w:t>
            </w:r>
            <w:r>
              <w:br/>
            </w:r>
            <w:r>
              <w:rPr>
                <w:rFonts w:ascii="Liberation Mono" w:hAnsi="Liberation Mono"/>
                <w:color w:val="0B2545"/>
                <w:sz w:val="17"/>
              </w:rPr>
              <w:t>Create PENDING_APPROVAL record + send approval email</w:t>
            </w:r>
            <w:r>
              <w:br/>
            </w:r>
            <w:r>
              <w:rPr>
                <w:rFonts w:ascii="Liberation Mono" w:hAnsi="Liberation Mono"/>
                <w:color w:val="0B2545"/>
                <w:sz w:val="17"/>
              </w:rPr>
              <w:t xml:space="preserve">        │</w:t>
            </w:r>
            <w:r>
              <w:br/>
            </w:r>
            <w:r>
              <w:rPr>
                <w:rFonts w:ascii="Liberation Mono" w:hAnsi="Liberation Mono"/>
                <w:color w:val="0B2545"/>
                <w:sz w:val="17"/>
              </w:rPr>
              <w:t xml:space="preserve">        ├── Reject / unauthorized ──► audit only; no cluster change</w:t>
            </w:r>
            <w:r>
              <w:br/>
            </w:r>
            <w:r>
              <w:rPr>
                <w:rFonts w:ascii="Liberation Mono" w:hAnsi="Liberation Mono"/>
                <w:color w:val="0B2545"/>
                <w:sz w:val="17"/>
              </w:rPr>
              <w:t xml:space="preserve">        │</w:t>
            </w:r>
            <w:r>
              <w:br/>
            </w:r>
            <w:r>
              <w:rPr>
                <w:rFonts w:ascii="Liberation Mono" w:hAnsi="Liberation Mono"/>
                <w:color w:val="0B2545"/>
                <w:sz w:val="17"/>
              </w:rPr>
              <w:t xml:space="preserve">        └── Authorized approval</w:t>
            </w:r>
            <w:r>
              <w:br/>
            </w:r>
            <w:r>
              <w:rPr>
                <w:rFonts w:ascii="Liberation Mono" w:hAnsi="Liberation Mono"/>
                <w:color w:val="0B2545"/>
                <w:sz w:val="17"/>
              </w:rPr>
              <w:t xml:space="preserve">                 │</w:t>
            </w:r>
            <w:r>
              <w:br/>
            </w:r>
            <w:r>
              <w:rPr>
                <w:rFonts w:ascii="Liberation Mono" w:hAnsi="Liberation Mono"/>
                <w:color w:val="0B2545"/>
                <w:sz w:val="17"/>
              </w:rPr>
              <w:t xml:space="preserve">                 ├── DRY_RUN ──► validate and record DRY_RUN_SUCCEEDED</w:t>
            </w:r>
            <w:r>
              <w:br/>
            </w:r>
            <w:r>
              <w:rPr>
                <w:rFonts w:ascii="Liberation Mono" w:hAnsi="Liberation Mono"/>
                <w:color w:val="0B2545"/>
                <w:sz w:val="17"/>
              </w:rPr>
              <w:t xml:space="preserve">                 └── LIVE ─────► secret + allowlist + RBAC + rollout checks</w:t>
            </w:r>
            <w:r>
              <w:br/>
            </w:r>
            <w:r>
              <w:rPr>
                <w:rFonts w:ascii="Liberation Mono" w:hAnsi="Liberation Mono"/>
                <w:color w:val="0B2545"/>
                <w:sz w:val="17"/>
              </w:rPr>
              <w:t xml:space="preserve">                                      │</w:t>
            </w:r>
            <w:r>
              <w:br/>
            </w:r>
            <w:r>
              <w:rPr>
                <w:rFonts w:ascii="Liberation Mono" w:hAnsi="Liberation Mono"/>
                <w:color w:val="0B2545"/>
                <w:sz w:val="17"/>
              </w:rPr>
              <w:t xml:space="preserve">                                      └── patch Deployment restart annotation</w:t>
            </w:r>
            <w:r>
              <w:br/>
            </w:r>
            <w:r>
              <w:rPr>
                <w:rFonts w:ascii="Liberation Mono" w:hAnsi="Liberation Mono"/>
                <w:color w:val="0B2545"/>
                <w:sz w:val="17"/>
              </w:rPr>
              <w:t xml:space="preserve">                                          wait for rollout, store pre/post state</w:t>
            </w:r>
          </w:p>
        </w:tc>
      </w:tr>
    </w:tbl>
    <w:p>
      <w:pPr>
        <w:spacing w:after="0"/>
      </w:pPr>
    </w:p>
    <w:tbl>
      <w:tblPr>
        <w:tblW w:type="dxa" w:w="9360"/>
        <w:jc w:val="center"/>
        <w:tblLayout w:type="fixed"/>
        <w:tblLook w:firstColumn="1" w:firstRow="1" w:lastColumn="0" w:lastRow="0" w:noHBand="0" w:noVBand="1" w:val="04A0"/>
        <w:tblInd w:w="120" w:type="dxa"/>
        <w:tblLayout w:type="fixed"/>
      </w:tblPr>
      <w:tblGrid>
        <w:gridCol w:w="2300"/>
        <w:gridCol w:w="7060"/>
      </w:tblGrid>
      <w:tr>
        <w:trPr>
          <w:tblHeader w:val="true"/>
          <w:cantSplit/>
        </w:trPr>
        <w:tc>
          <w:tcPr>
            <w:tcW w:type="dxa" w:w="2300"/>
            <w:tcMar>
              <w:top w:w="80" w:type="dxa"/>
              <w:start w:w="120" w:type="dxa"/>
              <w:bottom w:w="80" w:type="dxa"/>
              <w:end w:w="120" w:type="dxa"/>
            </w:tcMar>
            <w:shd w:fill="E8EEF5"/>
            <w:vAlign w:val="center"/>
          </w:tcPr>
          <w:p>
            <w:pPr>
              <w:spacing w:after="0"/>
            </w:pPr>
            <w:r>
              <w:rPr>
                <w:b/>
                <w:color w:val="0B2545"/>
                <w:sz w:val="18"/>
              </w:rPr>
              <w:t>Control</w:t>
            </w:r>
          </w:p>
        </w:tc>
        <w:tc>
          <w:tcPr>
            <w:tcW w:type="dxa" w:w="7060"/>
            <w:tcMar>
              <w:top w:w="80" w:type="dxa"/>
              <w:start w:w="120" w:type="dxa"/>
              <w:bottom w:w="80" w:type="dxa"/>
              <w:end w:w="120" w:type="dxa"/>
            </w:tcMar>
            <w:shd w:fill="E8EEF5"/>
            <w:vAlign w:val="center"/>
          </w:tcPr>
          <w:p>
            <w:pPr>
              <w:spacing w:after="0"/>
            </w:pPr>
            <w:r>
              <w:rPr>
                <w:b/>
                <w:color w:val="0B2545"/>
                <w:sz w:val="18"/>
              </w:rPr>
              <w:t>Behavior</w:t>
            </w:r>
          </w:p>
        </w:tc>
      </w:tr>
      <w:tr>
        <w:trPr>
          <w:cantSplit/>
        </w:trPr>
        <w:tc>
          <w:tcPr>
            <w:tcW w:type="dxa" w:w="2300"/>
            <w:tcMar>
              <w:top w:w="80" w:type="dxa"/>
              <w:start w:w="120" w:type="dxa"/>
              <w:bottom w:w="80" w:type="dxa"/>
              <w:end w:w="120" w:type="dxa"/>
            </w:tcMar>
            <w:vAlign w:val="top"/>
          </w:tcPr>
          <w:p>
            <w:pPr>
              <w:spacing w:after="0" w:line="264" w:lineRule="auto"/>
            </w:pPr>
            <w:r>
              <w:rPr>
                <w:sz w:val="18"/>
              </w:rPr>
              <w:t>Exact approver identity</w:t>
            </w:r>
          </w:p>
        </w:tc>
        <w:tc>
          <w:tcPr>
            <w:tcW w:type="dxa" w:w="7060"/>
            <w:tcMar>
              <w:top w:w="80" w:type="dxa"/>
              <w:start w:w="120" w:type="dxa"/>
              <w:bottom w:w="80" w:type="dxa"/>
              <w:end w:w="120" w:type="dxa"/>
            </w:tcMar>
            <w:vAlign w:val="top"/>
          </w:tcPr>
          <w:p>
            <w:pPr>
              <w:spacing w:after="0" w:line="264" w:lineRule="auto"/>
            </w:pPr>
            <w:r>
              <w:rPr>
                <w:sz w:val="18"/>
              </w:rPr>
              <w:t>Submitted email is trimmed/lowercased and must exactly equal HITL_APPROVER_EMAIL.</w:t>
            </w:r>
          </w:p>
        </w:tc>
      </w:tr>
      <w:tr>
        <w:trPr>
          <w:cantSplit/>
        </w:trPr>
        <w:tc>
          <w:tcPr>
            <w:tcW w:type="dxa" w:w="2300"/>
            <w:tcMar>
              <w:top w:w="80" w:type="dxa"/>
              <w:start w:w="120" w:type="dxa"/>
              <w:bottom w:w="80" w:type="dxa"/>
              <w:end w:w="120" w:type="dxa"/>
            </w:tcMar>
            <w:vAlign w:val="top"/>
            <w:shd w:fill="FAFBFC"/>
          </w:tcPr>
          <w:p>
            <w:pPr>
              <w:spacing w:after="0" w:line="264" w:lineRule="auto"/>
            </w:pPr>
            <w:r>
              <w:rPr>
                <w:sz w:val="18"/>
              </w:rPr>
              <w:t>Action allowlist</w:t>
            </w:r>
          </w:p>
        </w:tc>
        <w:tc>
          <w:tcPr>
            <w:tcW w:type="dxa" w:w="7060"/>
            <w:tcMar>
              <w:top w:w="80" w:type="dxa"/>
              <w:start w:w="120" w:type="dxa"/>
              <w:bottom w:w="80" w:type="dxa"/>
              <w:end w:w="120" w:type="dxa"/>
            </w:tcMar>
            <w:vAlign w:val="top"/>
            <w:shd w:fill="FAFBFC"/>
          </w:tcPr>
          <w:p>
            <w:pPr>
              <w:spacing w:after="0" w:line="264" w:lineRule="auto"/>
            </w:pPr>
            <w:r>
              <w:rPr>
                <w:sz w:val="18"/>
              </w:rPr>
              <w:t>Only the implemented restart_deployment action is eligible.</w:t>
            </w:r>
          </w:p>
        </w:tc>
      </w:tr>
      <w:tr>
        <w:trPr>
          <w:cantSplit/>
        </w:trPr>
        <w:tc>
          <w:tcPr>
            <w:tcW w:type="dxa" w:w="2300"/>
            <w:tcMar>
              <w:top w:w="80" w:type="dxa"/>
              <w:start w:w="120" w:type="dxa"/>
              <w:bottom w:w="80" w:type="dxa"/>
              <w:end w:w="120" w:type="dxa"/>
            </w:tcMar>
            <w:vAlign w:val="top"/>
          </w:tcPr>
          <w:p>
            <w:pPr>
              <w:spacing w:after="0" w:line="264" w:lineRule="auto"/>
            </w:pPr>
            <w:r>
              <w:rPr>
                <w:sz w:val="18"/>
              </w:rPr>
              <w:t>Target allowlist</w:t>
            </w:r>
          </w:p>
        </w:tc>
        <w:tc>
          <w:tcPr>
            <w:tcW w:type="dxa" w:w="7060"/>
            <w:tcMar>
              <w:top w:w="80" w:type="dxa"/>
              <w:start w:w="120" w:type="dxa"/>
              <w:bottom w:w="80" w:type="dxa"/>
              <w:end w:w="120" w:type="dxa"/>
            </w:tcMar>
            <w:vAlign w:val="top"/>
          </w:tcPr>
          <w:p>
            <w:pPr>
              <w:spacing w:after="0" w:line="264" w:lineRule="auto"/>
            </w:pPr>
            <w:r>
              <w:rPr>
                <w:sz w:val="18"/>
              </w:rPr>
              <w:t>Namespace and Deployment must exactly match HITL_ALLOWED_NAMESPACE and HITL_ALLOWED_DEPLOYMENT.</w:t>
            </w:r>
          </w:p>
        </w:tc>
      </w:tr>
      <w:tr>
        <w:trPr>
          <w:cantSplit/>
        </w:trPr>
        <w:tc>
          <w:tcPr>
            <w:tcW w:type="dxa" w:w="2300"/>
            <w:tcMar>
              <w:top w:w="80" w:type="dxa"/>
              <w:start w:w="120" w:type="dxa"/>
              <w:bottom w:w="80" w:type="dxa"/>
              <w:end w:w="120" w:type="dxa"/>
            </w:tcMar>
            <w:vAlign w:val="top"/>
            <w:shd w:fill="FAFBFC"/>
          </w:tcPr>
          <w:p>
            <w:pPr>
              <w:spacing w:after="0" w:line="264" w:lineRule="auto"/>
            </w:pPr>
            <w:r>
              <w:rPr>
                <w:sz w:val="18"/>
              </w:rPr>
              <w:t>Execution separation</w:t>
            </w:r>
          </w:p>
        </w:tc>
        <w:tc>
          <w:tcPr>
            <w:tcW w:type="dxa" w:w="7060"/>
            <w:tcMar>
              <w:top w:w="80" w:type="dxa"/>
              <w:start w:w="120" w:type="dxa"/>
              <w:bottom w:w="80" w:type="dxa"/>
              <w:end w:w="120" w:type="dxa"/>
            </w:tcMar>
            <w:vAlign w:val="top"/>
            <w:shd w:fill="FAFBFC"/>
          </w:tcPr>
          <w:p>
            <w:pPr>
              <w:spacing w:after="0" w:line="264" w:lineRule="auto"/>
            </w:pPr>
            <w:r>
              <w:rPr>
                <w:sz w:val="18"/>
              </w:rPr>
              <w:t>HITL_ENABLED permits proposals; HITL_EXECUTION_ENABLED separately permits live mutation.</w:t>
            </w:r>
          </w:p>
        </w:tc>
      </w:tr>
      <w:tr>
        <w:trPr>
          <w:cantSplit/>
        </w:trPr>
        <w:tc>
          <w:tcPr>
            <w:tcW w:type="dxa" w:w="2300"/>
            <w:tcMar>
              <w:top w:w="80" w:type="dxa"/>
              <w:start w:w="120" w:type="dxa"/>
              <w:bottom w:w="80" w:type="dxa"/>
              <w:end w:w="120" w:type="dxa"/>
            </w:tcMar>
            <w:vAlign w:val="top"/>
          </w:tcPr>
          <w:p>
            <w:pPr>
              <w:spacing w:after="0" w:line="264" w:lineRule="auto"/>
            </w:pPr>
            <w:r>
              <w:rPr>
                <w:sz w:val="18"/>
              </w:rPr>
              <w:t>Approval secret</w:t>
            </w:r>
          </w:p>
        </w:tc>
        <w:tc>
          <w:tcPr>
            <w:tcW w:type="dxa" w:w="7060"/>
            <w:tcMar>
              <w:top w:w="80" w:type="dxa"/>
              <w:start w:w="120" w:type="dxa"/>
              <w:bottom w:w="80" w:type="dxa"/>
              <w:end w:w="120" w:type="dxa"/>
            </w:tcMar>
            <w:vAlign w:val="top"/>
          </w:tcPr>
          <w:p>
            <w:pPr>
              <w:spacing w:after="0" w:line="264" w:lineRule="auto"/>
            </w:pPr>
            <w:r>
              <w:rPr>
                <w:sz w:val="18"/>
              </w:rPr>
              <w:t>Required for live mode and compared with constant-time logic to reduce timing leakage.</w:t>
            </w:r>
          </w:p>
        </w:tc>
      </w:tr>
      <w:tr>
        <w:trPr>
          <w:cantSplit/>
        </w:trPr>
        <w:tc>
          <w:tcPr>
            <w:tcW w:type="dxa" w:w="2300"/>
            <w:tcMar>
              <w:top w:w="80" w:type="dxa"/>
              <w:start w:w="120" w:type="dxa"/>
              <w:bottom w:w="80" w:type="dxa"/>
              <w:end w:w="120" w:type="dxa"/>
            </w:tcMar>
            <w:vAlign w:val="top"/>
            <w:shd w:fill="FAFBFC"/>
          </w:tcPr>
          <w:p>
            <w:pPr>
              <w:spacing w:after="0" w:line="264" w:lineRule="auto"/>
            </w:pPr>
            <w:r>
              <w:rPr>
                <w:sz w:val="18"/>
              </w:rPr>
              <w:t>Dry run</w:t>
            </w:r>
          </w:p>
        </w:tc>
        <w:tc>
          <w:tcPr>
            <w:tcW w:type="dxa" w:w="7060"/>
            <w:tcMar>
              <w:top w:w="80" w:type="dxa"/>
              <w:start w:w="120" w:type="dxa"/>
              <w:bottom w:w="80" w:type="dxa"/>
              <w:end w:w="120" w:type="dxa"/>
            </w:tcMar>
            <w:vAlign w:val="top"/>
            <w:shd w:fill="FAFBFC"/>
          </w:tcPr>
          <w:p>
            <w:pPr>
              <w:spacing w:after="0" w:line="264" w:lineRule="auto"/>
            </w:pPr>
            <w:r>
              <w:rPr>
                <w:sz w:val="18"/>
              </w:rPr>
              <w:t>Produces a successful simulation/audit result without changing OpenShift.</w:t>
            </w:r>
          </w:p>
        </w:tc>
      </w:tr>
      <w:tr>
        <w:trPr>
          <w:cantSplit/>
        </w:trPr>
        <w:tc>
          <w:tcPr>
            <w:tcW w:type="dxa" w:w="2300"/>
            <w:tcMar>
              <w:top w:w="80" w:type="dxa"/>
              <w:start w:w="120" w:type="dxa"/>
              <w:bottom w:w="80" w:type="dxa"/>
              <w:end w:w="120" w:type="dxa"/>
            </w:tcMar>
            <w:vAlign w:val="top"/>
          </w:tcPr>
          <w:p>
            <w:pPr>
              <w:spacing w:after="0" w:line="264" w:lineRule="auto"/>
            </w:pPr>
            <w:r>
              <w:rPr>
                <w:sz w:val="18"/>
              </w:rPr>
              <w:t>Pre/post evidence</w:t>
            </w:r>
          </w:p>
        </w:tc>
        <w:tc>
          <w:tcPr>
            <w:tcW w:type="dxa" w:w="7060"/>
            <w:tcMar>
              <w:top w:w="80" w:type="dxa"/>
              <w:start w:w="120" w:type="dxa"/>
              <w:bottom w:w="80" w:type="dxa"/>
              <w:end w:w="120" w:type="dxa"/>
            </w:tcMar>
            <w:vAlign w:val="top"/>
          </w:tcPr>
          <w:p>
            <w:pPr>
              <w:spacing w:after="0" w:line="264" w:lineRule="auto"/>
            </w:pPr>
            <w:r>
              <w:rPr>
                <w:sz w:val="18"/>
              </w:rPr>
              <w:t>Workload state before and after execution is stored in JSONB.</w:t>
            </w:r>
          </w:p>
        </w:tc>
      </w:tr>
      <w:tr>
        <w:trPr>
          <w:cantSplit/>
        </w:trPr>
        <w:tc>
          <w:tcPr>
            <w:tcW w:type="dxa" w:w="2300"/>
            <w:tcMar>
              <w:top w:w="80" w:type="dxa"/>
              <w:start w:w="120" w:type="dxa"/>
              <w:bottom w:w="80" w:type="dxa"/>
              <w:end w:w="120" w:type="dxa"/>
            </w:tcMar>
            <w:vAlign w:val="top"/>
            <w:shd w:fill="FAFBFC"/>
          </w:tcPr>
          <w:p>
            <w:pPr>
              <w:spacing w:after="0" w:line="264" w:lineRule="auto"/>
            </w:pPr>
            <w:r>
              <w:rPr>
                <w:sz w:val="18"/>
              </w:rPr>
              <w:t>Audit trail</w:t>
            </w:r>
          </w:p>
        </w:tc>
        <w:tc>
          <w:tcPr>
            <w:tcW w:type="dxa" w:w="7060"/>
            <w:tcMar>
              <w:top w:w="80" w:type="dxa"/>
              <w:start w:w="120" w:type="dxa"/>
              <w:bottom w:w="80" w:type="dxa"/>
              <w:end w:w="120" w:type="dxa"/>
            </w:tcMar>
            <w:vAlign w:val="top"/>
            <w:shd w:fill="FAFBFC"/>
          </w:tcPr>
          <w:p>
            <w:pPr>
              <w:spacing w:after="0" w:line="264" w:lineRule="auto"/>
            </w:pPr>
            <w:r>
              <w:rPr>
                <w:sz w:val="18"/>
              </w:rPr>
              <w:t>Creation, decision, execution attempt, result, actor, note, mode, and timestamps are retained.</w:t>
            </w:r>
          </w:p>
        </w:tc>
      </w:tr>
      <w:tr>
        <w:trPr>
          <w:cantSplit/>
        </w:trPr>
        <w:tc>
          <w:tcPr>
            <w:tcW w:type="dxa" w:w="2300"/>
            <w:tcMar>
              <w:top w:w="80" w:type="dxa"/>
              <w:start w:w="120" w:type="dxa"/>
              <w:bottom w:w="80" w:type="dxa"/>
              <w:end w:w="120" w:type="dxa"/>
            </w:tcMar>
            <w:vAlign w:val="top"/>
          </w:tcPr>
          <w:p>
            <w:pPr>
              <w:spacing w:after="0" w:line="264" w:lineRule="auto"/>
            </w:pPr>
            <w:r>
              <w:rPr>
                <w:sz w:val="18"/>
              </w:rPr>
              <w:t>Poll interval</w:t>
            </w:r>
          </w:p>
        </w:tc>
        <w:tc>
          <w:tcPr>
            <w:tcW w:type="dxa" w:w="7060"/>
            <w:tcMar>
              <w:top w:w="80" w:type="dxa"/>
              <w:start w:w="120" w:type="dxa"/>
              <w:bottom w:w="80" w:type="dxa"/>
              <w:end w:w="120" w:type="dxa"/>
            </w:tcMar>
            <w:vAlign w:val="top"/>
          </w:tcPr>
          <w:p>
            <w:pPr>
              <w:spacing w:after="0" w:line="264" w:lineRule="auto"/>
            </w:pPr>
            <w:r>
              <w:rPr>
                <w:sz w:val="18"/>
              </w:rPr>
              <w:t>Scheduler polls approved requests every 30 seconds; the browser never receives cluster credentials.</w:t>
            </w:r>
          </w:p>
        </w:tc>
      </w:tr>
    </w:tbl>
    <w:p>
      <w:pPr>
        <w:spacing w:after="0"/>
      </w:pPr>
    </w:p>
    <w:p>
      <w:pPr>
        <w:pStyle w:val="Heading2"/>
      </w:pPr>
      <w:r>
        <w:t>Explaining the earlier authorization error</w:t>
      </w:r>
    </w:p>
    <w:p>
      <w:r>
        <w:t>The approval form displayed the configured email as placeholder text, but placeholder text is not submitted as an input value. Clicking Approve with the field still empty produced “This email address is not authorized to approve remediation.” The approver must type the exact configured address. Previous dry-run decisions using the matching address succeeded, confirming that the identity check worked.</w:t>
      </w:r>
    </w:p>
    <w:p>
      <w:r>
        <w:br w:type="page"/>
      </w:r>
    </w:p>
    <w:p>
      <w:pPr>
        <w:pStyle w:val="Heading2"/>
      </w:pPr>
      <w:r>
        <w:t>Approver access</w:t>
      </w:r>
    </w:p>
    <w:p>
      <w:r>
        <w:t>An email link using localhost points to the recipient’s own computer and therefore cannot reach the sender’s dashboard. The local configuration was changed to a LAN-reachable URL on port 8502. This works only when the approver can route to that address, normally on the same LAN or VPN. In production, use the OpenShift Route with TLS and appropriate authentication.</w:t>
      </w:r>
    </w:p>
    <w:p>
      <w:pPr>
        <w:pStyle w:val="Heading1"/>
      </w:pPr>
      <w:r>
        <w:t>12. Dashboard and user experience</w:t>
      </w:r>
    </w:p>
    <w:p>
      <w:r>
        <w:t>run_streamlit.py launches agent/streamlit_dashboard.py, the active command center. It reads from PostgreSQL and presents operational history without becoming part of the scheduler’s critical path.</w:t>
      </w:r>
    </w:p>
    <w:tbl>
      <w:tblPr>
        <w:tblW w:type="dxa" w:w="9360"/>
        <w:jc w:val="center"/>
        <w:tblLayout w:type="fixed"/>
        <w:tblLook w:firstColumn="1" w:firstRow="1" w:lastColumn="0" w:lastRow="0" w:noHBand="0" w:noVBand="1" w:val="04A0"/>
        <w:tblInd w:w="120" w:type="dxa"/>
        <w:tblLayout w:type="fixed"/>
      </w:tblPr>
      <w:tblGrid>
        <w:gridCol w:w="2350"/>
        <w:gridCol w:w="7010"/>
      </w:tblGrid>
      <w:tr>
        <w:trPr>
          <w:tblHeader w:val="true"/>
          <w:cantSplit/>
        </w:trPr>
        <w:tc>
          <w:tcPr>
            <w:tcW w:type="dxa" w:w="2350"/>
            <w:tcMar>
              <w:top w:w="80" w:type="dxa"/>
              <w:start w:w="120" w:type="dxa"/>
              <w:bottom w:w="80" w:type="dxa"/>
              <w:end w:w="120" w:type="dxa"/>
            </w:tcMar>
            <w:shd w:fill="E8EEF5"/>
            <w:vAlign w:val="center"/>
          </w:tcPr>
          <w:p>
            <w:pPr>
              <w:spacing w:after="0"/>
            </w:pPr>
            <w:r>
              <w:rPr>
                <w:b/>
                <w:color w:val="0B2545"/>
                <w:sz w:val="18"/>
              </w:rPr>
              <w:t>View</w:t>
            </w:r>
          </w:p>
        </w:tc>
        <w:tc>
          <w:tcPr>
            <w:tcW w:type="dxa" w:w="7010"/>
            <w:tcMar>
              <w:top w:w="80" w:type="dxa"/>
              <w:start w:w="120" w:type="dxa"/>
              <w:bottom w:w="80" w:type="dxa"/>
              <w:end w:w="120" w:type="dxa"/>
            </w:tcMar>
            <w:shd w:fill="E8EEF5"/>
            <w:vAlign w:val="center"/>
          </w:tcPr>
          <w:p>
            <w:pPr>
              <w:spacing w:after="0"/>
            </w:pPr>
            <w:r>
              <w:rPr>
                <w:b/>
                <w:color w:val="0B2545"/>
                <w:sz w:val="18"/>
              </w:rPr>
              <w:t>Purpose</w:t>
            </w:r>
          </w:p>
        </w:tc>
      </w:tr>
      <w:tr>
        <w:trPr>
          <w:cantSplit/>
        </w:trPr>
        <w:tc>
          <w:tcPr>
            <w:tcW w:type="dxa" w:w="2350"/>
            <w:tcMar>
              <w:top w:w="80" w:type="dxa"/>
              <w:start w:w="120" w:type="dxa"/>
              <w:bottom w:w="80" w:type="dxa"/>
              <w:end w:w="120" w:type="dxa"/>
            </w:tcMar>
            <w:vAlign w:val="top"/>
          </w:tcPr>
          <w:p>
            <w:pPr>
              <w:spacing w:after="0" w:line="264" w:lineRule="auto"/>
            </w:pPr>
            <w:r>
              <w:rPr>
                <w:sz w:val="18"/>
              </w:rPr>
              <w:t>Overview</w:t>
            </w:r>
          </w:p>
        </w:tc>
        <w:tc>
          <w:tcPr>
            <w:tcW w:type="dxa" w:w="7010"/>
            <w:tcMar>
              <w:top w:w="80" w:type="dxa"/>
              <w:start w:w="120" w:type="dxa"/>
              <w:bottom w:w="80" w:type="dxa"/>
              <w:end w:w="120" w:type="dxa"/>
            </w:tcMar>
            <w:vAlign w:val="top"/>
          </w:tcPr>
          <w:p>
            <w:pPr>
              <w:spacing w:after="0" w:line="264" w:lineRule="auto"/>
            </w:pPr>
            <w:r>
              <w:rPr>
                <w:sz w:val="18"/>
              </w:rPr>
              <w:t>Current health summary, recent activity, and high-level metrics.</w:t>
            </w:r>
          </w:p>
        </w:tc>
      </w:tr>
      <w:tr>
        <w:trPr>
          <w:cantSplit/>
        </w:trPr>
        <w:tc>
          <w:tcPr>
            <w:tcW w:type="dxa" w:w="2350"/>
            <w:tcMar>
              <w:top w:w="80" w:type="dxa"/>
              <w:start w:w="120" w:type="dxa"/>
              <w:bottom w:w="80" w:type="dxa"/>
              <w:end w:w="120" w:type="dxa"/>
            </w:tcMar>
            <w:vAlign w:val="top"/>
            <w:shd w:fill="FAFBFC"/>
          </w:tcPr>
          <w:p>
            <w:pPr>
              <w:spacing w:after="0" w:line="264" w:lineRule="auto"/>
            </w:pPr>
            <w:r>
              <w:rPr>
                <w:sz w:val="18"/>
              </w:rPr>
              <w:t>Run Explorer</w:t>
            </w:r>
          </w:p>
        </w:tc>
        <w:tc>
          <w:tcPr>
            <w:tcW w:type="dxa" w:w="7010"/>
            <w:tcMar>
              <w:top w:w="80" w:type="dxa"/>
              <w:start w:w="120" w:type="dxa"/>
              <w:bottom w:w="80" w:type="dxa"/>
              <w:end w:w="120" w:type="dxa"/>
            </w:tcMar>
            <w:vAlign w:val="top"/>
            <w:shd w:fill="FAFBFC"/>
          </w:tcPr>
          <w:p>
            <w:pPr>
              <w:spacing w:after="0" w:line="264" w:lineRule="auto"/>
            </w:pPr>
            <w:r>
              <w:rPr>
                <w:sz w:val="18"/>
              </w:rPr>
              <w:t>Inspect one monitoring cycle, collection errors, failures, and generated resolutions.</w:t>
            </w:r>
          </w:p>
        </w:tc>
      </w:tr>
      <w:tr>
        <w:trPr>
          <w:cantSplit/>
        </w:trPr>
        <w:tc>
          <w:tcPr>
            <w:tcW w:type="dxa" w:w="2350"/>
            <w:tcMar>
              <w:top w:w="80" w:type="dxa"/>
              <w:start w:w="120" w:type="dxa"/>
              <w:bottom w:w="80" w:type="dxa"/>
              <w:end w:w="120" w:type="dxa"/>
            </w:tcMar>
            <w:vAlign w:val="top"/>
          </w:tcPr>
          <w:p>
            <w:pPr>
              <w:spacing w:after="0" w:line="264" w:lineRule="auto"/>
            </w:pPr>
            <w:r>
              <w:rPr>
                <w:sz w:val="18"/>
              </w:rPr>
              <w:t>Cluster Inventory</w:t>
            </w:r>
          </w:p>
        </w:tc>
        <w:tc>
          <w:tcPr>
            <w:tcW w:type="dxa" w:w="7010"/>
            <w:tcMar>
              <w:top w:w="80" w:type="dxa"/>
              <w:start w:w="120" w:type="dxa"/>
              <w:bottom w:w="80" w:type="dxa"/>
              <w:end w:w="120" w:type="dxa"/>
            </w:tcMar>
            <w:vAlign w:val="top"/>
          </w:tcPr>
          <w:p>
            <w:pPr>
              <w:spacing w:after="0" w:line="264" w:lineRule="auto"/>
            </w:pPr>
            <w:r>
              <w:rPr>
                <w:sz w:val="18"/>
              </w:rPr>
              <w:t>Review collected resources and health observations.</w:t>
            </w:r>
          </w:p>
        </w:tc>
      </w:tr>
      <w:tr>
        <w:trPr>
          <w:cantSplit/>
        </w:trPr>
        <w:tc>
          <w:tcPr>
            <w:tcW w:type="dxa" w:w="2350"/>
            <w:tcMar>
              <w:top w:w="80" w:type="dxa"/>
              <w:start w:w="120" w:type="dxa"/>
              <w:bottom w:w="80" w:type="dxa"/>
              <w:end w:w="120" w:type="dxa"/>
            </w:tcMar>
            <w:vAlign w:val="top"/>
            <w:shd w:fill="FAFBFC"/>
          </w:tcPr>
          <w:p>
            <w:pPr>
              <w:spacing w:after="0" w:line="264" w:lineRule="auto"/>
            </w:pPr>
            <w:r>
              <w:rPr>
                <w:sz w:val="18"/>
              </w:rPr>
              <w:t>Incidents</w:t>
            </w:r>
          </w:p>
        </w:tc>
        <w:tc>
          <w:tcPr>
            <w:tcW w:type="dxa" w:w="7010"/>
            <w:tcMar>
              <w:top w:w="80" w:type="dxa"/>
              <w:start w:w="120" w:type="dxa"/>
              <w:bottom w:w="80" w:type="dxa"/>
              <w:end w:w="120" w:type="dxa"/>
            </w:tcMar>
            <w:vAlign w:val="top"/>
            <w:shd w:fill="FAFBFC"/>
          </w:tcPr>
          <w:p>
            <w:pPr>
              <w:spacing w:after="0" w:line="264" w:lineRule="auto"/>
            </w:pPr>
            <w:r>
              <w:rPr>
                <w:sz w:val="18"/>
              </w:rPr>
              <w:t>Browse stored incident knowledge and resolutions.</w:t>
            </w:r>
          </w:p>
        </w:tc>
      </w:tr>
      <w:tr>
        <w:trPr>
          <w:cantSplit/>
        </w:trPr>
        <w:tc>
          <w:tcPr>
            <w:tcW w:type="dxa" w:w="2350"/>
            <w:tcMar>
              <w:top w:w="80" w:type="dxa"/>
              <w:start w:w="120" w:type="dxa"/>
              <w:bottom w:w="80" w:type="dxa"/>
              <w:end w:w="120" w:type="dxa"/>
            </w:tcMar>
            <w:vAlign w:val="top"/>
          </w:tcPr>
          <w:p>
            <w:pPr>
              <w:spacing w:after="0" w:line="264" w:lineRule="auto"/>
            </w:pPr>
            <w:r>
              <w:rPr>
                <w:sz w:val="18"/>
              </w:rPr>
              <w:t>Remediation approvals</w:t>
            </w:r>
          </w:p>
        </w:tc>
        <w:tc>
          <w:tcPr>
            <w:tcW w:type="dxa" w:w="7010"/>
            <w:tcMar>
              <w:top w:w="80" w:type="dxa"/>
              <w:start w:w="120" w:type="dxa"/>
              <w:bottom w:w="80" w:type="dxa"/>
              <w:end w:w="120" w:type="dxa"/>
            </w:tcMar>
            <w:vAlign w:val="top"/>
          </w:tcPr>
          <w:p>
            <w:pPr>
              <w:spacing w:after="0" w:line="264" w:lineRule="auto"/>
            </w:pPr>
            <w:r>
              <w:rPr>
                <w:sz w:val="18"/>
              </w:rPr>
              <w:t>Open pending requests, enter authorized email and decision note, approve/reject, and review audit history.</w:t>
            </w:r>
          </w:p>
        </w:tc>
      </w:tr>
      <w:tr>
        <w:trPr>
          <w:cantSplit/>
        </w:trPr>
        <w:tc>
          <w:tcPr>
            <w:tcW w:type="dxa" w:w="2350"/>
            <w:tcMar>
              <w:top w:w="80" w:type="dxa"/>
              <w:start w:w="120" w:type="dxa"/>
              <w:bottom w:w="80" w:type="dxa"/>
              <w:end w:w="120" w:type="dxa"/>
            </w:tcMar>
            <w:vAlign w:val="top"/>
            <w:shd w:fill="FAFBFC"/>
          </w:tcPr>
          <w:p>
            <w:pPr>
              <w:spacing w:after="0" w:line="264" w:lineRule="auto"/>
            </w:pPr>
            <w:r>
              <w:rPr>
                <w:sz w:val="18"/>
              </w:rPr>
              <w:t>Sidebar controls</w:t>
            </w:r>
          </w:p>
        </w:tc>
        <w:tc>
          <w:tcPr>
            <w:tcW w:type="dxa" w:w="7010"/>
            <w:tcMar>
              <w:top w:w="80" w:type="dxa"/>
              <w:start w:w="120" w:type="dxa"/>
              <w:bottom w:w="80" w:type="dxa"/>
              <w:end w:w="120" w:type="dxa"/>
            </w:tcMar>
            <w:vAlign w:val="top"/>
            <w:shd w:fill="FAFBFC"/>
          </w:tcPr>
          <w:p>
            <w:pPr>
              <w:spacing w:after="0" w:line="264" w:lineRule="auto"/>
            </w:pPr>
            <w:r>
              <w:rPr>
                <w:sz w:val="18"/>
              </w:rPr>
              <w:t>History window, 30-second auto-refresh, and manual refresh.</w:t>
            </w:r>
          </w:p>
        </w:tc>
      </w:tr>
    </w:tbl>
    <w:p>
      <w:pPr>
        <w:spacing w:after="0"/>
      </w:pPr>
    </w:p>
    <w:p>
      <w:pPr>
        <w:numPr>
          <w:ilvl w:val="0"/>
          <w:numId w:val="10"/>
        </w:numPr>
        <w:spacing w:after="80" w:line="300" w:lineRule="auto"/>
      </w:pPr>
      <w:r>
        <w:t>Host URL: http://192.168.1.131:8502 in the validated LAN setup; use the environment-specific OpenShift Route in production.</w:t>
      </w:r>
    </w:p>
    <w:p>
      <w:pPr>
        <w:numPr>
          <w:ilvl w:val="0"/>
          <w:numId w:val="10"/>
        </w:numPr>
        <w:spacing w:after="80" w:line="300" w:lineRule="auto"/>
      </w:pPr>
      <w:r>
        <w:t>Compose maps host 8502 to Streamlit container port 8501. The scheduler may expose an internal 8501 health endpoint without creating another host-port conflict.</w:t>
      </w:r>
    </w:p>
    <w:p>
      <w:pPr>
        <w:numPr>
          <w:ilvl w:val="0"/>
          <w:numId w:val="10"/>
        </w:numPr>
        <w:spacing w:after="80" w:line="300" w:lineRule="auto"/>
      </w:pPr>
      <w:r>
        <w:t>agent/dashboard.py and agent/templates/dashboard.html provide an alternative FastAPI/Jinja dashboard/API implementation, but Docker Compose currently launches the Streamlit version.</w:t>
      </w:r>
    </w:p>
    <w:p>
      <w:pPr>
        <w:pStyle w:val="Heading1"/>
      </w:pPr>
      <w:r>
        <w:t>13. Scheduling, health, and observability</w:t>
      </w:r>
    </w:p>
    <w:tbl>
      <w:tblPr>
        <w:tblW w:type="dxa" w:w="9360"/>
        <w:jc w:val="center"/>
        <w:tblLayout w:type="fixed"/>
        <w:tblLook w:firstColumn="1" w:firstRow="1" w:lastColumn="0" w:lastRow="0" w:noHBand="0" w:noVBand="1" w:val="04A0"/>
        <w:tblInd w:w="120" w:type="dxa"/>
        <w:tblLayout w:type="fixed"/>
      </w:tblPr>
      <w:tblGrid>
        <w:gridCol w:w="2300"/>
        <w:gridCol w:w="7060"/>
      </w:tblGrid>
      <w:tr>
        <w:trPr>
          <w:tblHeader w:val="true"/>
          <w:cantSplit/>
        </w:trPr>
        <w:tc>
          <w:tcPr>
            <w:tcW w:type="dxa" w:w="2300"/>
            <w:tcMar>
              <w:top w:w="80" w:type="dxa"/>
              <w:start w:w="120" w:type="dxa"/>
              <w:bottom w:w="80" w:type="dxa"/>
              <w:end w:w="120" w:type="dxa"/>
            </w:tcMar>
            <w:shd w:fill="E8EEF5"/>
            <w:vAlign w:val="center"/>
          </w:tcPr>
          <w:p>
            <w:pPr>
              <w:spacing w:after="0"/>
            </w:pPr>
            <w:r>
              <w:rPr>
                <w:b/>
                <w:color w:val="0B2545"/>
                <w:sz w:val="18"/>
              </w:rPr>
              <w:t>Mechanism</w:t>
            </w:r>
          </w:p>
        </w:tc>
        <w:tc>
          <w:tcPr>
            <w:tcW w:type="dxa" w:w="7060"/>
            <w:tcMar>
              <w:top w:w="80" w:type="dxa"/>
              <w:start w:w="120" w:type="dxa"/>
              <w:bottom w:w="80" w:type="dxa"/>
              <w:end w:w="120" w:type="dxa"/>
            </w:tcMar>
            <w:shd w:fill="E8EEF5"/>
            <w:vAlign w:val="center"/>
          </w:tcPr>
          <w:p>
            <w:pPr>
              <w:spacing w:after="0"/>
            </w:pPr>
            <w:r>
              <w:rPr>
                <w:b/>
                <w:color w:val="0B2545"/>
                <w:sz w:val="18"/>
              </w:rPr>
              <w:t>Current behavior</w:t>
            </w:r>
          </w:p>
        </w:tc>
      </w:tr>
      <w:tr>
        <w:trPr>
          <w:cantSplit/>
        </w:trPr>
        <w:tc>
          <w:tcPr>
            <w:tcW w:type="dxa" w:w="2300"/>
            <w:tcMar>
              <w:top w:w="80" w:type="dxa"/>
              <w:start w:w="120" w:type="dxa"/>
              <w:bottom w:w="80" w:type="dxa"/>
              <w:end w:w="120" w:type="dxa"/>
            </w:tcMar>
            <w:vAlign w:val="top"/>
          </w:tcPr>
          <w:p>
            <w:pPr>
              <w:spacing w:after="0" w:line="264" w:lineRule="auto"/>
            </w:pPr>
            <w:r>
              <w:rPr>
                <w:sz w:val="18"/>
              </w:rPr>
              <w:t>Immediate cycle</w:t>
            </w:r>
          </w:p>
        </w:tc>
        <w:tc>
          <w:tcPr>
            <w:tcW w:type="dxa" w:w="7060"/>
            <w:tcMar>
              <w:top w:w="80" w:type="dxa"/>
              <w:start w:w="120" w:type="dxa"/>
              <w:bottom w:w="80" w:type="dxa"/>
              <w:end w:w="120" w:type="dxa"/>
            </w:tcMar>
            <w:vAlign w:val="top"/>
          </w:tcPr>
          <w:p>
            <w:pPr>
              <w:spacing w:after="0" w:line="264" w:lineRule="auto"/>
            </w:pPr>
            <w:r>
              <w:rPr>
                <w:sz w:val="18"/>
              </w:rPr>
              <w:t>A monitoring run occurs at scheduler startup so operators do not wait for the first interval.</w:t>
            </w:r>
          </w:p>
        </w:tc>
      </w:tr>
      <w:tr>
        <w:trPr>
          <w:cantSplit/>
        </w:trPr>
        <w:tc>
          <w:tcPr>
            <w:tcW w:type="dxa" w:w="2300"/>
            <w:tcMar>
              <w:top w:w="80" w:type="dxa"/>
              <w:start w:w="120" w:type="dxa"/>
              <w:bottom w:w="80" w:type="dxa"/>
              <w:end w:w="120" w:type="dxa"/>
            </w:tcMar>
            <w:vAlign w:val="top"/>
            <w:shd w:fill="FAFBFC"/>
          </w:tcPr>
          <w:p>
            <w:pPr>
              <w:spacing w:after="0" w:line="264" w:lineRule="auto"/>
            </w:pPr>
            <w:r>
              <w:rPr>
                <w:sz w:val="18"/>
              </w:rPr>
              <w:t>Monitoring interval</w:t>
            </w:r>
          </w:p>
        </w:tc>
        <w:tc>
          <w:tcPr>
            <w:tcW w:type="dxa" w:w="7060"/>
            <w:tcMar>
              <w:top w:w="80" w:type="dxa"/>
              <w:start w:w="120" w:type="dxa"/>
              <w:bottom w:w="80" w:type="dxa"/>
              <w:end w:w="120" w:type="dxa"/>
            </w:tcMar>
            <w:vAlign w:val="top"/>
            <w:shd w:fill="FAFBFC"/>
          </w:tcPr>
          <w:p>
            <w:pPr>
              <w:spacing w:after="0" w:line="264" w:lineRule="auto"/>
            </w:pPr>
            <w:r>
              <w:rPr>
                <w:sz w:val="18"/>
              </w:rPr>
              <w:t>APScheduler IntervalTrigger runs every 15 minutes through cfg.interval_minutes.</w:t>
            </w:r>
          </w:p>
        </w:tc>
      </w:tr>
      <w:tr>
        <w:trPr>
          <w:cantSplit/>
        </w:trPr>
        <w:tc>
          <w:tcPr>
            <w:tcW w:type="dxa" w:w="2300"/>
            <w:tcMar>
              <w:top w:w="80" w:type="dxa"/>
              <w:start w:w="120" w:type="dxa"/>
              <w:bottom w:w="80" w:type="dxa"/>
              <w:end w:w="120" w:type="dxa"/>
            </w:tcMar>
            <w:vAlign w:val="top"/>
          </w:tcPr>
          <w:p>
            <w:pPr>
              <w:spacing w:after="0" w:line="264" w:lineRule="auto"/>
            </w:pPr>
            <w:r>
              <w:rPr>
                <w:sz w:val="18"/>
              </w:rPr>
              <w:t>HITL polling</w:t>
            </w:r>
          </w:p>
        </w:tc>
        <w:tc>
          <w:tcPr>
            <w:tcW w:type="dxa" w:w="7060"/>
            <w:tcMar>
              <w:top w:w="80" w:type="dxa"/>
              <w:start w:w="120" w:type="dxa"/>
              <w:bottom w:w="80" w:type="dxa"/>
              <w:end w:w="120" w:type="dxa"/>
            </w:tcMar>
            <w:vAlign w:val="top"/>
          </w:tcPr>
          <w:p>
            <w:pPr>
              <w:spacing w:after="0" w:line="264" w:lineRule="auto"/>
            </w:pPr>
            <w:r>
              <w:rPr>
                <w:sz w:val="18"/>
              </w:rPr>
              <w:t>Approved remediation requests are polled every 30 seconds.</w:t>
            </w:r>
          </w:p>
        </w:tc>
      </w:tr>
      <w:tr>
        <w:trPr>
          <w:cantSplit/>
        </w:trPr>
        <w:tc>
          <w:tcPr>
            <w:tcW w:type="dxa" w:w="2300"/>
            <w:tcMar>
              <w:top w:w="80" w:type="dxa"/>
              <w:start w:w="120" w:type="dxa"/>
              <w:bottom w:w="80" w:type="dxa"/>
              <w:end w:w="120" w:type="dxa"/>
            </w:tcMar>
            <w:vAlign w:val="top"/>
            <w:shd w:fill="FAFBFC"/>
          </w:tcPr>
          <w:p>
            <w:pPr>
              <w:spacing w:after="0" w:line="264" w:lineRule="auto"/>
            </w:pPr>
            <w:r>
              <w:rPr>
                <w:sz w:val="18"/>
              </w:rPr>
              <w:t>Heartbeat</w:t>
            </w:r>
          </w:p>
        </w:tc>
        <w:tc>
          <w:tcPr>
            <w:tcW w:type="dxa" w:w="7060"/>
            <w:tcMar>
              <w:top w:w="80" w:type="dxa"/>
              <w:start w:w="120" w:type="dxa"/>
              <w:bottom w:w="80" w:type="dxa"/>
              <w:end w:w="120" w:type="dxa"/>
            </w:tcMar>
            <w:vAlign w:val="top"/>
            <w:shd w:fill="FAFBFC"/>
          </w:tcPr>
          <w:p>
            <w:pPr>
              <w:spacing w:after="0" w:line="264" w:lineRule="auto"/>
            </w:pPr>
            <w:r>
              <w:rPr>
                <w:sz w:val="18"/>
              </w:rPr>
              <w:t>Scheduler updates a heartbeat file; health logic allows interval plus a safety margin.</w:t>
            </w:r>
          </w:p>
        </w:tc>
      </w:tr>
      <w:tr>
        <w:trPr>
          <w:cantSplit/>
        </w:trPr>
        <w:tc>
          <w:tcPr>
            <w:tcW w:type="dxa" w:w="2300"/>
            <w:tcMar>
              <w:top w:w="80" w:type="dxa"/>
              <w:start w:w="120" w:type="dxa"/>
              <w:bottom w:w="80" w:type="dxa"/>
              <w:end w:w="120" w:type="dxa"/>
            </w:tcMar>
            <w:vAlign w:val="top"/>
          </w:tcPr>
          <w:p>
            <w:pPr>
              <w:spacing w:after="0" w:line="264" w:lineRule="auto"/>
            </w:pPr>
            <w:r>
              <w:rPr>
                <w:sz w:val="18"/>
              </w:rPr>
              <w:t>Structured logging</w:t>
            </w:r>
          </w:p>
        </w:tc>
        <w:tc>
          <w:tcPr>
            <w:tcW w:type="dxa" w:w="7060"/>
            <w:tcMar>
              <w:top w:w="80" w:type="dxa"/>
              <w:start w:w="120" w:type="dxa"/>
              <w:bottom w:w="80" w:type="dxa"/>
              <w:end w:w="120" w:type="dxa"/>
            </w:tcMar>
            <w:vAlign w:val="top"/>
          </w:tcPr>
          <w:p>
            <w:pPr>
              <w:spacing w:after="0" w:line="264" w:lineRule="auto"/>
            </w:pPr>
            <w:r>
              <w:rPr>
                <w:sz w:val="18"/>
              </w:rPr>
              <w:t>structlog emits readable local logs and supports JSON-style production logging.</w:t>
            </w:r>
          </w:p>
        </w:tc>
      </w:tr>
      <w:tr>
        <w:trPr>
          <w:cantSplit/>
        </w:trPr>
        <w:tc>
          <w:tcPr>
            <w:tcW w:type="dxa" w:w="2300"/>
            <w:tcMar>
              <w:top w:w="80" w:type="dxa"/>
              <w:start w:w="120" w:type="dxa"/>
              <w:bottom w:w="80" w:type="dxa"/>
              <w:end w:w="120" w:type="dxa"/>
            </w:tcMar>
            <w:vAlign w:val="top"/>
            <w:shd w:fill="FAFBFC"/>
          </w:tcPr>
          <w:p>
            <w:pPr>
              <w:spacing w:after="0" w:line="264" w:lineRule="auto"/>
            </w:pPr>
            <w:r>
              <w:rPr>
                <w:sz w:val="18"/>
              </w:rPr>
              <w:t>Container health</w:t>
            </w:r>
          </w:p>
        </w:tc>
        <w:tc>
          <w:tcPr>
            <w:tcW w:type="dxa" w:w="7060"/>
            <w:tcMar>
              <w:top w:w="80" w:type="dxa"/>
              <w:start w:w="120" w:type="dxa"/>
              <w:bottom w:w="80" w:type="dxa"/>
              <w:end w:w="120" w:type="dxa"/>
            </w:tcMar>
            <w:vAlign w:val="top"/>
            <w:shd w:fill="FAFBFC"/>
          </w:tcPr>
          <w:p>
            <w:pPr>
              <w:spacing w:after="0" w:line="264" w:lineRule="auto"/>
            </w:pPr>
            <w:r>
              <w:rPr>
                <w:sz w:val="18"/>
              </w:rPr>
              <w:t>Compose and OpenShift probes expose service health independently for PostgreSQL, scheduler, and dashboard.</w:t>
            </w:r>
          </w:p>
        </w:tc>
      </w:tr>
      <w:tr>
        <w:trPr>
          <w:cantSplit/>
        </w:trPr>
        <w:tc>
          <w:tcPr>
            <w:tcW w:type="dxa" w:w="2300"/>
            <w:tcMar>
              <w:top w:w="80" w:type="dxa"/>
              <w:start w:w="120" w:type="dxa"/>
              <w:bottom w:w="80" w:type="dxa"/>
              <w:end w:w="120" w:type="dxa"/>
            </w:tcMar>
            <w:vAlign w:val="top"/>
          </w:tcPr>
          <w:p>
            <w:pPr>
              <w:spacing w:after="0" w:line="264" w:lineRule="auto"/>
            </w:pPr>
            <w:r>
              <w:rPr>
                <w:sz w:val="18"/>
              </w:rPr>
              <w:t>Failure visibility</w:t>
            </w:r>
          </w:p>
        </w:tc>
        <w:tc>
          <w:tcPr>
            <w:tcW w:type="dxa" w:w="7060"/>
            <w:tcMar>
              <w:top w:w="80" w:type="dxa"/>
              <w:start w:w="120" w:type="dxa"/>
              <w:bottom w:w="80" w:type="dxa"/>
              <w:end w:w="120" w:type="dxa"/>
            </w:tcMar>
            <w:vAlign w:val="top"/>
          </w:tcPr>
          <w:p>
            <w:pPr>
              <w:spacing w:after="0" w:line="264" w:lineRule="auto"/>
            </w:pPr>
            <w:r>
              <w:rPr>
                <w:sz w:val="18"/>
              </w:rPr>
              <w:t>Collection errors, notification outcomes, and remediation results are persisted or logged with context.</w:t>
            </w:r>
          </w:p>
        </w:tc>
      </w:tr>
    </w:tbl>
    <w:p>
      <w:pPr>
        <w:spacing w:after="0"/>
      </w:pPr>
    </w:p>
    <w:p>
      <w:pPr>
        <w:pStyle w:val="Heading1"/>
      </w:pPr>
      <w:r>
        <w:t>14. Containers and local execution</w:t>
      </w:r>
    </w:p>
    <w:p>
      <w:r>
        <w:t>The Dockerfile uses Python 3.12 slim and installs the same application image for scheduler and dashboard roles. Workloads run as non-root UID 1001 with group-compatible filesystem permissions. OpenShift manifests add read-only root filesystem, dropped capabilities, and no privilege escalation where compatible.</w:t>
      </w:r>
    </w:p>
    <w:tbl>
      <w:tblPr>
        <w:tblW w:type="dxa" w:w="9360"/>
        <w:jc w:val="center"/>
        <w:tblLayout w:type="fixed"/>
        <w:tblLook w:firstColumn="1" w:firstRow="1" w:lastColumn="0" w:lastRow="0" w:noHBand="0" w:noVBand="1" w:val="04A0"/>
        <w:tblInd w:w="120" w:type="dxa"/>
        <w:tblLayout w:type="fixed"/>
      </w:tblPr>
      <w:tblGrid>
        <w:gridCol w:w="1900"/>
        <w:gridCol w:w="2800"/>
        <w:gridCol w:w="4660"/>
      </w:tblGrid>
      <w:tr>
        <w:trPr>
          <w:tblHeader w:val="true"/>
          <w:cantSplit/>
        </w:trPr>
        <w:tc>
          <w:tcPr>
            <w:tcW w:type="dxa" w:w="1900"/>
            <w:tcMar>
              <w:top w:w="80" w:type="dxa"/>
              <w:start w:w="120" w:type="dxa"/>
              <w:bottom w:w="80" w:type="dxa"/>
              <w:end w:w="120" w:type="dxa"/>
            </w:tcMar>
            <w:shd w:fill="E8EEF5"/>
            <w:vAlign w:val="center"/>
          </w:tcPr>
          <w:p>
            <w:pPr>
              <w:spacing w:after="0"/>
            </w:pPr>
            <w:r>
              <w:rPr>
                <w:b/>
                <w:color w:val="0B2545"/>
                <w:sz w:val="18"/>
              </w:rPr>
              <w:t>Compose service</w:t>
            </w:r>
          </w:p>
        </w:tc>
        <w:tc>
          <w:tcPr>
            <w:tcW w:type="dxa" w:w="2800"/>
            <w:tcMar>
              <w:top w:w="80" w:type="dxa"/>
              <w:start w:w="120" w:type="dxa"/>
              <w:bottom w:w="80" w:type="dxa"/>
              <w:end w:w="120" w:type="dxa"/>
            </w:tcMar>
            <w:shd w:fill="E8EEF5"/>
            <w:vAlign w:val="center"/>
          </w:tcPr>
          <w:p>
            <w:pPr>
              <w:spacing w:after="0"/>
            </w:pPr>
            <w:r>
              <w:rPr>
                <w:b/>
                <w:color w:val="0B2545"/>
                <w:sz w:val="18"/>
              </w:rPr>
              <w:t>Ports</w:t>
            </w:r>
          </w:p>
        </w:tc>
        <w:tc>
          <w:tcPr>
            <w:tcW w:type="dxa" w:w="4660"/>
            <w:tcMar>
              <w:top w:w="80" w:type="dxa"/>
              <w:start w:w="120" w:type="dxa"/>
              <w:bottom w:w="80" w:type="dxa"/>
              <w:end w:w="120" w:type="dxa"/>
            </w:tcMar>
            <w:shd w:fill="E8EEF5"/>
            <w:vAlign w:val="center"/>
          </w:tcPr>
          <w:p>
            <w:pPr>
              <w:spacing w:after="0"/>
            </w:pPr>
            <w:r>
              <w:rPr>
                <w:b/>
                <w:color w:val="0B2545"/>
                <w:sz w:val="18"/>
              </w:rPr>
              <w:t>Role</w:t>
            </w:r>
          </w:p>
        </w:tc>
      </w:tr>
      <w:tr>
        <w:trPr>
          <w:cantSplit/>
        </w:trPr>
        <w:tc>
          <w:tcPr>
            <w:tcW w:type="dxa" w:w="1900"/>
            <w:tcMar>
              <w:top w:w="80" w:type="dxa"/>
              <w:start w:w="120" w:type="dxa"/>
              <w:bottom w:w="80" w:type="dxa"/>
              <w:end w:w="120" w:type="dxa"/>
            </w:tcMar>
            <w:vAlign w:val="top"/>
          </w:tcPr>
          <w:p>
            <w:pPr>
              <w:spacing w:after="0" w:line="264" w:lineRule="auto"/>
            </w:pPr>
            <w:r>
              <w:rPr>
                <w:sz w:val="18"/>
              </w:rPr>
              <w:t>postgres</w:t>
            </w:r>
          </w:p>
        </w:tc>
        <w:tc>
          <w:tcPr>
            <w:tcW w:type="dxa" w:w="2800"/>
            <w:tcMar>
              <w:top w:w="80" w:type="dxa"/>
              <w:start w:w="120" w:type="dxa"/>
              <w:bottom w:w="80" w:type="dxa"/>
              <w:end w:w="120" w:type="dxa"/>
            </w:tcMar>
            <w:vAlign w:val="top"/>
          </w:tcPr>
          <w:p>
            <w:pPr>
              <w:spacing w:after="0" w:line="264" w:lineRule="auto"/>
            </w:pPr>
            <w:r>
              <w:rPr>
                <w:sz w:val="18"/>
              </w:rPr>
              <w:t>host 5437 → container 5432</w:t>
            </w:r>
          </w:p>
        </w:tc>
        <w:tc>
          <w:tcPr>
            <w:tcW w:type="dxa" w:w="4660"/>
            <w:tcMar>
              <w:top w:w="80" w:type="dxa"/>
              <w:start w:w="120" w:type="dxa"/>
              <w:bottom w:w="80" w:type="dxa"/>
              <w:end w:w="120" w:type="dxa"/>
            </w:tcMar>
            <w:vAlign w:val="top"/>
          </w:tcPr>
          <w:p>
            <w:pPr>
              <w:spacing w:after="0" w:line="264" w:lineRule="auto"/>
            </w:pPr>
            <w:r>
              <w:rPr>
                <w:sz w:val="18"/>
              </w:rPr>
              <w:t>PostgreSQL database and pgAdmin connection target</w:t>
            </w:r>
          </w:p>
        </w:tc>
      </w:tr>
      <w:tr>
        <w:trPr>
          <w:cantSplit/>
        </w:trPr>
        <w:tc>
          <w:tcPr>
            <w:tcW w:type="dxa" w:w="1900"/>
            <w:tcMar>
              <w:top w:w="80" w:type="dxa"/>
              <w:start w:w="120" w:type="dxa"/>
              <w:bottom w:w="80" w:type="dxa"/>
              <w:end w:w="120" w:type="dxa"/>
            </w:tcMar>
            <w:vAlign w:val="top"/>
            <w:shd w:fill="FAFBFC"/>
          </w:tcPr>
          <w:p>
            <w:pPr>
              <w:spacing w:after="0" w:line="264" w:lineRule="auto"/>
            </w:pPr>
            <w:r>
              <w:rPr>
                <w:sz w:val="18"/>
              </w:rPr>
              <w:t>scheduler</w:t>
            </w:r>
          </w:p>
        </w:tc>
        <w:tc>
          <w:tcPr>
            <w:tcW w:type="dxa" w:w="2800"/>
            <w:tcMar>
              <w:top w:w="80" w:type="dxa"/>
              <w:start w:w="120" w:type="dxa"/>
              <w:bottom w:w="80" w:type="dxa"/>
              <w:end w:w="120" w:type="dxa"/>
            </w:tcMar>
            <w:vAlign w:val="top"/>
            <w:shd w:fill="FAFBFC"/>
          </w:tcPr>
          <w:p>
            <w:pPr>
              <w:spacing w:after="0" w:line="264" w:lineRule="auto"/>
            </w:pPr>
            <w:r>
              <w:rPr>
                <w:sz w:val="18"/>
              </w:rPr>
              <w:t>container/internal 8501 health endpoint</w:t>
            </w:r>
          </w:p>
        </w:tc>
        <w:tc>
          <w:tcPr>
            <w:tcW w:type="dxa" w:w="4660"/>
            <w:tcMar>
              <w:top w:w="80" w:type="dxa"/>
              <w:start w:w="120" w:type="dxa"/>
              <w:bottom w:w="80" w:type="dxa"/>
              <w:end w:w="120" w:type="dxa"/>
            </w:tcMar>
            <w:vAlign w:val="top"/>
            <w:shd w:fill="FAFBFC"/>
          </w:tcPr>
          <w:p>
            <w:pPr>
              <w:spacing w:after="0" w:line="264" w:lineRule="auto"/>
            </w:pPr>
            <w:r>
              <w:rPr>
                <w:sz w:val="18"/>
              </w:rPr>
              <w:t>Monitoring graph, escalation, email, persistence, and HITL execution poller</w:t>
            </w:r>
          </w:p>
        </w:tc>
      </w:tr>
      <w:tr>
        <w:trPr>
          <w:cantSplit/>
        </w:trPr>
        <w:tc>
          <w:tcPr>
            <w:tcW w:type="dxa" w:w="1900"/>
            <w:tcMar>
              <w:top w:w="80" w:type="dxa"/>
              <w:start w:w="120" w:type="dxa"/>
              <w:bottom w:w="80" w:type="dxa"/>
              <w:end w:w="120" w:type="dxa"/>
            </w:tcMar>
            <w:vAlign w:val="top"/>
          </w:tcPr>
          <w:p>
            <w:pPr>
              <w:spacing w:after="0" w:line="264" w:lineRule="auto"/>
            </w:pPr>
            <w:r>
              <w:rPr>
                <w:sz w:val="18"/>
              </w:rPr>
              <w:t>dashboard</w:t>
            </w:r>
          </w:p>
        </w:tc>
        <w:tc>
          <w:tcPr>
            <w:tcW w:type="dxa" w:w="2800"/>
            <w:tcMar>
              <w:top w:w="80" w:type="dxa"/>
              <w:start w:w="120" w:type="dxa"/>
              <w:bottom w:w="80" w:type="dxa"/>
              <w:end w:w="120" w:type="dxa"/>
            </w:tcMar>
            <w:vAlign w:val="top"/>
          </w:tcPr>
          <w:p>
            <w:pPr>
              <w:spacing w:after="0" w:line="264" w:lineRule="auto"/>
            </w:pPr>
            <w:r>
              <w:rPr>
                <w:sz w:val="18"/>
              </w:rPr>
              <w:t>host 8502 → container 8501</w:t>
            </w:r>
          </w:p>
        </w:tc>
        <w:tc>
          <w:tcPr>
            <w:tcW w:type="dxa" w:w="4660"/>
            <w:tcMar>
              <w:top w:w="80" w:type="dxa"/>
              <w:start w:w="120" w:type="dxa"/>
              <w:bottom w:w="80" w:type="dxa"/>
              <w:end w:w="120" w:type="dxa"/>
            </w:tcMar>
            <w:vAlign w:val="top"/>
          </w:tcPr>
          <w:p>
            <w:pPr>
              <w:spacing w:after="0" w:line="264" w:lineRule="auto"/>
            </w:pPr>
            <w:r>
              <w:rPr>
                <w:sz w:val="18"/>
              </w:rPr>
              <w:t>Streamlit browser interface and approval page</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20" w:type="dxa"/>
              <w:start w:w="160" w:type="dxa"/>
              <w:bottom w:w="120" w:type="dxa"/>
              <w:end w:w="160" w:type="dxa"/>
            </w:tcMar>
            <w:shd w:fill="F6F8FA"/>
          </w:tcPr>
          <w:p>
            <w:pPr>
              <w:spacing w:after="0" w:line="240" w:lineRule="auto"/>
            </w:pPr>
            <w:r>
              <w:rPr>
                <w:rFonts w:ascii="Liberation Mono" w:hAnsi="Liberation Mono"/>
                <w:color w:val="0B2545"/>
                <w:sz w:val="17"/>
              </w:rPr>
              <w:t># Typical local lifecycle</w:t>
            </w:r>
            <w:r>
              <w:br/>
            </w:r>
            <w:r>
              <w:rPr>
                <w:rFonts w:ascii="Liberation Mono" w:hAnsi="Liberation Mono"/>
                <w:color w:val="0B2545"/>
                <w:sz w:val="17"/>
              </w:rPr>
              <w:t>docker compose config</w:t>
            </w:r>
            <w:r>
              <w:br/>
            </w:r>
            <w:r>
              <w:rPr>
                <w:rFonts w:ascii="Liberation Mono" w:hAnsi="Liberation Mono"/>
                <w:color w:val="0B2545"/>
                <w:sz w:val="17"/>
              </w:rPr>
              <w:t>docker compose up -d --build</w:t>
            </w:r>
            <w:r>
              <w:br/>
            </w:r>
            <w:r>
              <w:rPr>
                <w:rFonts w:ascii="Liberation Mono" w:hAnsi="Liberation Mono"/>
                <w:color w:val="0B2545"/>
                <w:sz w:val="17"/>
              </w:rPr>
              <w:t>docker compose ps</w:t>
            </w:r>
            <w:r>
              <w:br/>
            </w:r>
            <w:r>
              <w:rPr>
                <w:rFonts w:ascii="Liberation Mono" w:hAnsi="Liberation Mono"/>
                <w:color w:val="0B2545"/>
                <w:sz w:val="17"/>
              </w:rPr>
              <w:t>docker compose logs -f scheduler</w:t>
            </w:r>
            <w:r>
              <w:br/>
            </w:r>
            <w:r>
              <w:rPr>
                <w:rFonts w:ascii="Liberation Mono" w:hAnsi="Liberation Mono"/>
                <w:color w:val="0B2545"/>
                <w:sz w:val="17"/>
              </w:rPr>
              <w:t>docker compose logs -f dashboard</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4F8FC"/>
          </w:tcPr>
          <w:p>
            <w:pPr>
              <w:spacing w:after="60"/>
            </w:pPr>
            <w:r>
              <w:rPr>
                <w:b/>
                <w:color w:val="0B2545"/>
              </w:rPr>
              <w:t>Local DNS compatibility</w:t>
            </w:r>
          </w:p>
          <w:p>
            <w:pPr>
              <w:spacing w:after="0" w:line="276" w:lineRule="auto"/>
            </w:pPr>
            <w:r>
              <w:t>compose.yaml supports an extra_hosts mapping controlled by OCP_API_HOSTNAME and OCP_API_HOST_IP so containers can resolve an internal OpenShift API hostname when local DNS cannot. Treat the IP as environment-specific.</w:t>
            </w:r>
          </w:p>
        </w:tc>
      </w:tr>
    </w:tbl>
    <w:p>
      <w:pPr>
        <w:spacing w:after="0"/>
      </w:pPr>
    </w:p>
    <w:p>
      <w:pPr>
        <w:pStyle w:val="Heading1"/>
      </w:pPr>
      <w:r>
        <w:t>15. OpenShift deployment design</w:t>
      </w:r>
    </w:p>
    <w:tbl>
      <w:tblPr>
        <w:tblW w:type="dxa" w:w="9360"/>
        <w:jc w:val="center"/>
        <w:tblLayout w:type="fixed"/>
        <w:tblLook w:firstColumn="1" w:firstRow="1" w:lastColumn="0" w:lastRow="0" w:noHBand="0" w:noVBand="1" w:val="04A0"/>
        <w:tblInd w:w="120" w:type="dxa"/>
        <w:tblLayout w:type="fixed"/>
      </w:tblPr>
      <w:tblGrid>
        <w:gridCol w:w="3000"/>
        <w:gridCol w:w="6360"/>
      </w:tblGrid>
      <w:tr>
        <w:trPr>
          <w:tblHeader w:val="true"/>
          <w:cantSplit/>
        </w:trPr>
        <w:tc>
          <w:tcPr>
            <w:tcW w:type="dxa" w:w="3000"/>
            <w:tcMar>
              <w:top w:w="80" w:type="dxa"/>
              <w:start w:w="120" w:type="dxa"/>
              <w:bottom w:w="80" w:type="dxa"/>
              <w:end w:w="120" w:type="dxa"/>
            </w:tcMar>
            <w:shd w:fill="E8EEF5"/>
            <w:vAlign w:val="center"/>
          </w:tcPr>
          <w:p>
            <w:pPr>
              <w:spacing w:after="0"/>
            </w:pPr>
            <w:r>
              <w:rPr>
                <w:b/>
                <w:color w:val="0B2545"/>
                <w:sz w:val="18"/>
              </w:rPr>
              <w:t>Manifest</w:t>
            </w:r>
          </w:p>
        </w:tc>
        <w:tc>
          <w:tcPr>
            <w:tcW w:type="dxa" w:w="6360"/>
            <w:tcMar>
              <w:top w:w="80" w:type="dxa"/>
              <w:start w:w="120" w:type="dxa"/>
              <w:bottom w:w="80" w:type="dxa"/>
              <w:end w:w="120" w:type="dxa"/>
            </w:tcMar>
            <w:shd w:fill="E8EEF5"/>
            <w:vAlign w:val="center"/>
          </w:tcPr>
          <w:p>
            <w:pPr>
              <w:spacing w:after="0"/>
            </w:pPr>
            <w:r>
              <w:rPr>
                <w:b/>
                <w:color w:val="0B2545"/>
                <w:sz w:val="18"/>
              </w:rPr>
              <w:t>Responsibility</w:t>
            </w:r>
          </w:p>
        </w:tc>
      </w:tr>
      <w:tr>
        <w:trPr>
          <w:cantSplit/>
        </w:trPr>
        <w:tc>
          <w:tcPr>
            <w:tcW w:type="dxa" w:w="3000"/>
            <w:tcMar>
              <w:top w:w="80" w:type="dxa"/>
              <w:start w:w="120" w:type="dxa"/>
              <w:bottom w:w="80" w:type="dxa"/>
              <w:end w:w="120" w:type="dxa"/>
            </w:tcMar>
            <w:vAlign w:val="top"/>
          </w:tcPr>
          <w:p>
            <w:pPr>
              <w:spacing w:after="0" w:line="264" w:lineRule="auto"/>
            </w:pPr>
            <w:r>
              <w:rPr>
                <w:sz w:val="18"/>
              </w:rPr>
              <w:t>namespace.yaml</w:t>
            </w:r>
          </w:p>
        </w:tc>
        <w:tc>
          <w:tcPr>
            <w:tcW w:type="dxa" w:w="6360"/>
            <w:tcMar>
              <w:top w:w="80" w:type="dxa"/>
              <w:start w:w="120" w:type="dxa"/>
              <w:bottom w:w="80" w:type="dxa"/>
              <w:end w:w="120" w:type="dxa"/>
            </w:tcMar>
            <w:vAlign w:val="top"/>
          </w:tcPr>
          <w:p>
            <w:pPr>
              <w:spacing w:after="0" w:line="264" w:lineRule="auto"/>
            </w:pPr>
            <w:r>
              <w:rPr>
                <w:sz w:val="18"/>
              </w:rPr>
              <w:t>Creates the ocp-monitor namespace.</w:t>
            </w:r>
          </w:p>
        </w:tc>
      </w:tr>
      <w:tr>
        <w:trPr>
          <w:cantSplit/>
        </w:trPr>
        <w:tc>
          <w:tcPr>
            <w:tcW w:type="dxa" w:w="3000"/>
            <w:tcMar>
              <w:top w:w="80" w:type="dxa"/>
              <w:start w:w="120" w:type="dxa"/>
              <w:bottom w:w="80" w:type="dxa"/>
              <w:end w:w="120" w:type="dxa"/>
            </w:tcMar>
            <w:vAlign w:val="top"/>
            <w:shd w:fill="FAFBFC"/>
          </w:tcPr>
          <w:p>
            <w:pPr>
              <w:spacing w:after="0" w:line="264" w:lineRule="auto"/>
            </w:pPr>
            <w:r>
              <w:rPr>
                <w:sz w:val="18"/>
              </w:rPr>
              <w:t>serviceaccount.yaml</w:t>
            </w:r>
          </w:p>
        </w:tc>
        <w:tc>
          <w:tcPr>
            <w:tcW w:type="dxa" w:w="6360"/>
            <w:tcMar>
              <w:top w:w="80" w:type="dxa"/>
              <w:start w:w="120" w:type="dxa"/>
              <w:bottom w:w="80" w:type="dxa"/>
              <w:end w:w="120" w:type="dxa"/>
            </w:tcMar>
            <w:vAlign w:val="top"/>
            <w:shd w:fill="FAFBFC"/>
          </w:tcPr>
          <w:p>
            <w:pPr>
              <w:spacing w:after="0" w:line="264" w:lineRule="auto"/>
            </w:pPr>
            <w:r>
              <w:rPr>
                <w:sz w:val="18"/>
              </w:rPr>
              <w:t>Creates workload identity.</w:t>
            </w:r>
          </w:p>
        </w:tc>
      </w:tr>
      <w:tr>
        <w:trPr>
          <w:cantSplit/>
        </w:trPr>
        <w:tc>
          <w:tcPr>
            <w:tcW w:type="dxa" w:w="3000"/>
            <w:tcMar>
              <w:top w:w="80" w:type="dxa"/>
              <w:start w:w="120" w:type="dxa"/>
              <w:bottom w:w="80" w:type="dxa"/>
              <w:end w:w="120" w:type="dxa"/>
            </w:tcMar>
            <w:vAlign w:val="top"/>
          </w:tcPr>
          <w:p>
            <w:pPr>
              <w:spacing w:after="0" w:line="264" w:lineRule="auto"/>
            </w:pPr>
            <w:r>
              <w:rPr>
                <w:sz w:val="18"/>
              </w:rPr>
              <w:t>rbac.yaml</w:t>
            </w:r>
          </w:p>
        </w:tc>
        <w:tc>
          <w:tcPr>
            <w:tcW w:type="dxa" w:w="6360"/>
            <w:tcMar>
              <w:top w:w="80" w:type="dxa"/>
              <w:start w:w="120" w:type="dxa"/>
              <w:bottom w:w="80" w:type="dxa"/>
              <w:end w:w="120" w:type="dxa"/>
            </w:tcMar>
            <w:vAlign w:val="top"/>
          </w:tcPr>
          <w:p>
            <w:pPr>
              <w:spacing w:after="0" w:line="264" w:lineRule="auto"/>
            </w:pPr>
            <w:r>
              <w:rPr>
                <w:sz w:val="18"/>
              </w:rPr>
              <w:t>Defines read-oriented ClusterRole and binding for scheduler collection.</w:t>
            </w:r>
          </w:p>
        </w:tc>
      </w:tr>
      <w:tr>
        <w:trPr>
          <w:cantSplit/>
        </w:trPr>
        <w:tc>
          <w:tcPr>
            <w:tcW w:type="dxa" w:w="3000"/>
            <w:tcMar>
              <w:top w:w="80" w:type="dxa"/>
              <w:start w:w="120" w:type="dxa"/>
              <w:bottom w:w="80" w:type="dxa"/>
              <w:end w:w="120" w:type="dxa"/>
            </w:tcMar>
            <w:vAlign w:val="top"/>
            <w:shd w:fill="FAFBFC"/>
          </w:tcPr>
          <w:p>
            <w:pPr>
              <w:spacing w:after="0" w:line="264" w:lineRule="auto"/>
            </w:pPr>
            <w:r>
              <w:rPr>
                <w:sz w:val="18"/>
              </w:rPr>
              <w:t>configmap.yaml</w:t>
            </w:r>
          </w:p>
        </w:tc>
        <w:tc>
          <w:tcPr>
            <w:tcW w:type="dxa" w:w="6360"/>
            <w:tcMar>
              <w:top w:w="80" w:type="dxa"/>
              <w:start w:w="120" w:type="dxa"/>
              <w:bottom w:w="80" w:type="dxa"/>
              <w:end w:w="120" w:type="dxa"/>
            </w:tcMar>
            <w:vAlign w:val="top"/>
            <w:shd w:fill="FAFBFC"/>
          </w:tcPr>
          <w:p>
            <w:pPr>
              <w:spacing w:after="0" w:line="264" w:lineRule="auto"/>
            </w:pPr>
            <w:r>
              <w:rPr>
                <w:sz w:val="18"/>
              </w:rPr>
              <w:t>Stores safe non-secret runtime settings and conservative feature flags.</w:t>
            </w:r>
          </w:p>
        </w:tc>
      </w:tr>
      <w:tr>
        <w:trPr>
          <w:cantSplit/>
        </w:trPr>
        <w:tc>
          <w:tcPr>
            <w:tcW w:type="dxa" w:w="3000"/>
            <w:tcMar>
              <w:top w:w="80" w:type="dxa"/>
              <w:start w:w="120" w:type="dxa"/>
              <w:bottom w:w="80" w:type="dxa"/>
              <w:end w:w="120" w:type="dxa"/>
            </w:tcMar>
            <w:vAlign w:val="top"/>
          </w:tcPr>
          <w:p>
            <w:pPr>
              <w:spacing w:after="0" w:line="264" w:lineRule="auto"/>
            </w:pPr>
            <w:r>
              <w:rPr>
                <w:sz w:val="18"/>
              </w:rPr>
              <w:t>escalation-owners-configmap.yaml</w:t>
            </w:r>
          </w:p>
        </w:tc>
        <w:tc>
          <w:tcPr>
            <w:tcW w:type="dxa" w:w="6360"/>
            <w:tcMar>
              <w:top w:w="80" w:type="dxa"/>
              <w:start w:w="120" w:type="dxa"/>
              <w:bottom w:w="80" w:type="dxa"/>
              <w:end w:w="120" w:type="dxa"/>
            </w:tcMar>
            <w:vAlign w:val="top"/>
          </w:tcPr>
          <w:p>
            <w:pPr>
              <w:spacing w:after="0" w:line="264" w:lineRule="auto"/>
            </w:pPr>
            <w:r>
              <w:rPr>
                <w:sz w:val="18"/>
              </w:rPr>
              <w:t>Mounts escalation routing JSON.</w:t>
            </w:r>
          </w:p>
        </w:tc>
      </w:tr>
      <w:tr>
        <w:trPr>
          <w:cantSplit/>
        </w:trPr>
        <w:tc>
          <w:tcPr>
            <w:tcW w:type="dxa" w:w="3000"/>
            <w:tcMar>
              <w:top w:w="80" w:type="dxa"/>
              <w:start w:w="120" w:type="dxa"/>
              <w:bottom w:w="80" w:type="dxa"/>
              <w:end w:w="120" w:type="dxa"/>
            </w:tcMar>
            <w:vAlign w:val="top"/>
            <w:shd w:fill="FAFBFC"/>
          </w:tcPr>
          <w:p>
            <w:pPr>
              <w:spacing w:after="0" w:line="264" w:lineRule="auto"/>
            </w:pPr>
            <w:r>
              <w:rPr>
                <w:sz w:val="18"/>
              </w:rPr>
              <w:t>scheduler-deployment.yaml</w:t>
            </w:r>
          </w:p>
        </w:tc>
        <w:tc>
          <w:tcPr>
            <w:tcW w:type="dxa" w:w="6360"/>
            <w:tcMar>
              <w:top w:w="80" w:type="dxa"/>
              <w:start w:w="120" w:type="dxa"/>
              <w:bottom w:w="80" w:type="dxa"/>
              <w:end w:w="120" w:type="dxa"/>
            </w:tcMar>
            <w:vAlign w:val="top"/>
            <w:shd w:fill="FAFBFC"/>
          </w:tcPr>
          <w:p>
            <w:pPr>
              <w:spacing w:after="0" w:line="264" w:lineRule="auto"/>
            </w:pPr>
            <w:r>
              <w:rPr>
                <w:sz w:val="18"/>
              </w:rPr>
              <w:t>Runs monitoring and HITL polling with ServiceAccount, probes, resources, and security context.</w:t>
            </w:r>
          </w:p>
        </w:tc>
      </w:tr>
      <w:tr>
        <w:trPr>
          <w:cantSplit/>
        </w:trPr>
        <w:tc>
          <w:tcPr>
            <w:tcW w:type="dxa" w:w="3000"/>
            <w:tcMar>
              <w:top w:w="80" w:type="dxa"/>
              <w:start w:w="120" w:type="dxa"/>
              <w:bottom w:w="80" w:type="dxa"/>
              <w:end w:w="120" w:type="dxa"/>
            </w:tcMar>
            <w:vAlign w:val="top"/>
          </w:tcPr>
          <w:p>
            <w:pPr>
              <w:spacing w:after="0" w:line="264" w:lineRule="auto"/>
            </w:pPr>
            <w:r>
              <w:rPr>
                <w:sz w:val="18"/>
              </w:rPr>
              <w:t>dashboard-deployment.yaml</w:t>
            </w:r>
          </w:p>
        </w:tc>
        <w:tc>
          <w:tcPr>
            <w:tcW w:type="dxa" w:w="6360"/>
            <w:tcMar>
              <w:top w:w="80" w:type="dxa"/>
              <w:start w:w="120" w:type="dxa"/>
              <w:bottom w:w="80" w:type="dxa"/>
              <w:end w:w="120" w:type="dxa"/>
            </w:tcMar>
            <w:vAlign w:val="top"/>
          </w:tcPr>
          <w:p>
            <w:pPr>
              <w:spacing w:after="0" w:line="264" w:lineRule="auto"/>
            </w:pPr>
            <w:r>
              <w:rPr>
                <w:sz w:val="18"/>
              </w:rPr>
              <w:t>Runs Streamlit without automounted ServiceAccount credentials.</w:t>
            </w:r>
          </w:p>
        </w:tc>
      </w:tr>
      <w:tr>
        <w:trPr>
          <w:cantSplit/>
        </w:trPr>
        <w:tc>
          <w:tcPr>
            <w:tcW w:type="dxa" w:w="3000"/>
            <w:tcMar>
              <w:top w:w="80" w:type="dxa"/>
              <w:start w:w="120" w:type="dxa"/>
              <w:bottom w:w="80" w:type="dxa"/>
              <w:end w:w="120" w:type="dxa"/>
            </w:tcMar>
            <w:vAlign w:val="top"/>
            <w:shd w:fill="FAFBFC"/>
          </w:tcPr>
          <w:p>
            <w:pPr>
              <w:spacing w:after="0" w:line="264" w:lineRule="auto"/>
            </w:pPr>
            <w:r>
              <w:rPr>
                <w:sz w:val="18"/>
              </w:rPr>
              <w:t>dashboard-service.yaml</w:t>
            </w:r>
          </w:p>
        </w:tc>
        <w:tc>
          <w:tcPr>
            <w:tcW w:type="dxa" w:w="6360"/>
            <w:tcMar>
              <w:top w:w="80" w:type="dxa"/>
              <w:start w:w="120" w:type="dxa"/>
              <w:bottom w:w="80" w:type="dxa"/>
              <w:end w:w="120" w:type="dxa"/>
            </w:tcMar>
            <w:vAlign w:val="top"/>
            <w:shd w:fill="FAFBFC"/>
          </w:tcPr>
          <w:p>
            <w:pPr>
              <w:spacing w:after="0" w:line="264" w:lineRule="auto"/>
            </w:pPr>
            <w:r>
              <w:rPr>
                <w:sz w:val="18"/>
              </w:rPr>
              <w:t>Creates the in-cluster dashboard endpoint.</w:t>
            </w:r>
          </w:p>
        </w:tc>
      </w:tr>
      <w:tr>
        <w:trPr>
          <w:cantSplit/>
        </w:trPr>
        <w:tc>
          <w:tcPr>
            <w:tcW w:type="dxa" w:w="3000"/>
            <w:tcMar>
              <w:top w:w="80" w:type="dxa"/>
              <w:start w:w="120" w:type="dxa"/>
              <w:bottom w:w="80" w:type="dxa"/>
              <w:end w:w="120" w:type="dxa"/>
            </w:tcMar>
            <w:vAlign w:val="top"/>
          </w:tcPr>
          <w:p>
            <w:pPr>
              <w:spacing w:after="0" w:line="264" w:lineRule="auto"/>
            </w:pPr>
            <w:r>
              <w:rPr>
                <w:sz w:val="18"/>
              </w:rPr>
              <w:t>dashboard-route.yaml</w:t>
            </w:r>
          </w:p>
        </w:tc>
        <w:tc>
          <w:tcPr>
            <w:tcW w:type="dxa" w:w="6360"/>
            <w:tcMar>
              <w:top w:w="80" w:type="dxa"/>
              <w:start w:w="120" w:type="dxa"/>
              <w:bottom w:w="80" w:type="dxa"/>
              <w:end w:w="120" w:type="dxa"/>
            </w:tcMar>
            <w:vAlign w:val="top"/>
          </w:tcPr>
          <w:p>
            <w:pPr>
              <w:spacing w:after="0" w:line="264" w:lineRule="auto"/>
            </w:pPr>
            <w:r>
              <w:rPr>
                <w:sz w:val="18"/>
              </w:rPr>
              <w:t>Publishes the dashboard through an OpenShift Route.</w:t>
            </w:r>
          </w:p>
        </w:tc>
      </w:tr>
      <w:tr>
        <w:trPr>
          <w:cantSplit/>
        </w:trPr>
        <w:tc>
          <w:tcPr>
            <w:tcW w:type="dxa" w:w="3000"/>
            <w:tcMar>
              <w:top w:w="80" w:type="dxa"/>
              <w:start w:w="120" w:type="dxa"/>
              <w:bottom w:w="80" w:type="dxa"/>
              <w:end w:w="120" w:type="dxa"/>
            </w:tcMar>
            <w:vAlign w:val="top"/>
            <w:shd w:fill="FAFBFC"/>
          </w:tcPr>
          <w:p>
            <w:pPr>
              <w:spacing w:after="0" w:line="264" w:lineRule="auto"/>
            </w:pPr>
            <w:r>
              <w:rPr>
                <w:sz w:val="18"/>
              </w:rPr>
              <w:t>kustomization.yaml</w:t>
            </w:r>
          </w:p>
        </w:tc>
        <w:tc>
          <w:tcPr>
            <w:tcW w:type="dxa" w:w="6360"/>
            <w:tcMar>
              <w:top w:w="80" w:type="dxa"/>
              <w:start w:w="120" w:type="dxa"/>
              <w:bottom w:w="80" w:type="dxa"/>
              <w:end w:w="120" w:type="dxa"/>
            </w:tcMar>
            <w:vAlign w:val="top"/>
            <w:shd w:fill="FAFBFC"/>
          </w:tcPr>
          <w:p>
            <w:pPr>
              <w:spacing w:after="0" w:line="264" w:lineRule="auto"/>
            </w:pPr>
            <w:r>
              <w:rPr>
                <w:sz w:val="18"/>
              </w:rPr>
              <w:t>Collects the default deployment resources.</w:t>
            </w:r>
          </w:p>
        </w:tc>
      </w:tr>
      <w:tr>
        <w:trPr>
          <w:cantSplit/>
        </w:trPr>
        <w:tc>
          <w:tcPr>
            <w:tcW w:type="dxa" w:w="3000"/>
            <w:tcMar>
              <w:top w:w="80" w:type="dxa"/>
              <w:start w:w="120" w:type="dxa"/>
              <w:bottom w:w="80" w:type="dxa"/>
              <w:end w:w="120" w:type="dxa"/>
            </w:tcMar>
            <w:vAlign w:val="top"/>
          </w:tcPr>
          <w:p>
            <w:pPr>
              <w:spacing w:after="0" w:line="264" w:lineRule="auto"/>
            </w:pPr>
            <w:r>
              <w:rPr>
                <w:sz w:val="18"/>
              </w:rPr>
              <w:t>secret.example.yaml</w:t>
            </w:r>
          </w:p>
        </w:tc>
        <w:tc>
          <w:tcPr>
            <w:tcW w:type="dxa" w:w="6360"/>
            <w:tcMar>
              <w:top w:w="80" w:type="dxa"/>
              <w:start w:w="120" w:type="dxa"/>
              <w:bottom w:w="80" w:type="dxa"/>
              <w:end w:w="120" w:type="dxa"/>
            </w:tcMar>
            <w:vAlign w:val="top"/>
          </w:tcPr>
          <w:p>
            <w:pPr>
              <w:spacing w:after="0" w:line="264" w:lineRule="auto"/>
            </w:pPr>
            <w:r>
              <w:rPr>
                <w:sz w:val="18"/>
              </w:rPr>
              <w:t>Documents required secret keys using placeholders only.</w:t>
            </w:r>
          </w:p>
        </w:tc>
      </w:tr>
      <w:tr>
        <w:trPr>
          <w:cantSplit/>
        </w:trPr>
        <w:tc>
          <w:tcPr>
            <w:tcW w:type="dxa" w:w="3000"/>
            <w:tcMar>
              <w:top w:w="80" w:type="dxa"/>
              <w:start w:w="120" w:type="dxa"/>
              <w:bottom w:w="80" w:type="dxa"/>
              <w:end w:w="120" w:type="dxa"/>
            </w:tcMar>
            <w:vAlign w:val="top"/>
            <w:shd w:fill="FAFBFC"/>
          </w:tcPr>
          <w:p>
            <w:pPr>
              <w:spacing w:after="0" w:line="264" w:lineRule="auto"/>
            </w:pPr>
            <w:r>
              <w:rPr>
                <w:sz w:val="18"/>
              </w:rPr>
              <w:t>hitl-rbac.example.yaml</w:t>
            </w:r>
          </w:p>
        </w:tc>
        <w:tc>
          <w:tcPr>
            <w:tcW w:type="dxa" w:w="6360"/>
            <w:tcMar>
              <w:top w:w="80" w:type="dxa"/>
              <w:start w:w="120" w:type="dxa"/>
              <w:bottom w:w="80" w:type="dxa"/>
              <w:end w:w="120" w:type="dxa"/>
            </w:tcMar>
            <w:vAlign w:val="top"/>
            <w:shd w:fill="FAFBFC"/>
          </w:tcPr>
          <w:p>
            <w:pPr>
              <w:spacing w:after="0" w:line="264" w:lineRule="auto"/>
            </w:pPr>
            <w:r>
              <w:rPr>
                <w:sz w:val="18"/>
              </w:rPr>
              <w:t>Optional mutation permission for live restart; intentionally excluded by default.</w:t>
            </w:r>
          </w:p>
        </w:tc>
      </w:tr>
    </w:tbl>
    <w:p>
      <w:pPr>
        <w:spacing w:after="0"/>
      </w:pPr>
    </w:p>
    <w:p>
      <w:pPr>
        <w:pStyle w:val="Heading2"/>
      </w:pPr>
      <w:r>
        <w:t>Deployment sequence</w:t>
      </w:r>
    </w:p>
    <w:p>
      <w:pPr>
        <w:numPr>
          <w:ilvl w:val="0"/>
          <w:numId w:val="15"/>
        </w:numPr>
        <w:spacing w:after="80" w:line="300" w:lineRule="auto"/>
      </w:pPr>
      <w:r>
        <w:t>Build the image and push it to the organization’s approved registry.</w:t>
      </w:r>
    </w:p>
    <w:p>
      <w:pPr>
        <w:numPr>
          <w:ilvl w:val="0"/>
          <w:numId w:val="15"/>
        </w:numPr>
        <w:spacing w:after="80" w:line="300" w:lineRule="auto"/>
      </w:pPr>
      <w:r>
        <w:t>Replace the placeholder approved-registry.example.com image in both Deployments with the immutable production image reference.</w:t>
      </w:r>
    </w:p>
    <w:p>
      <w:pPr>
        <w:numPr>
          <w:ilvl w:val="0"/>
          <w:numId w:val="15"/>
        </w:numPr>
        <w:spacing w:after="80" w:line="300" w:lineRule="auto"/>
      </w:pPr>
      <w:r>
        <w:t>Provision or select managed PostgreSQL, enable pgvector, define backup/restore and TLS, and ensure the in-cluster service/DNS name matches DATABASE_URL.</w:t>
      </w:r>
    </w:p>
    <w:p>
      <w:pPr>
        <w:numPr>
          <w:ilvl w:val="0"/>
          <w:numId w:val="15"/>
        </w:numPr>
        <w:spacing w:after="80" w:line="300" w:lineRule="auto"/>
      </w:pPr>
      <w:r>
        <w:t>Create the ocp-monitor namespace and production Secret from the approved secret manager; never apply placeholder credentials.</w:t>
      </w:r>
    </w:p>
    <w:p>
      <w:pPr>
        <w:numPr>
          <w:ilvl w:val="0"/>
          <w:numId w:val="15"/>
        </w:numPr>
        <w:spacing w:after="80" w:line="300" w:lineRule="auto"/>
      </w:pPr>
      <w:r>
        <w:t>Review read RBAC, especially any Secret access. Keep hitl-rbac.example.yaml excluded until live remediation receives formal approval.</w:t>
      </w:r>
    </w:p>
    <w:p>
      <w:pPr>
        <w:numPr>
          <w:ilvl w:val="0"/>
          <w:numId w:val="15"/>
        </w:numPr>
        <w:spacing w:after="80" w:line="300" w:lineRule="auto"/>
      </w:pPr>
      <w:r>
        <w:t>Configure the Route hostname/TLS/authentication and set HITL_DASHBOARD_URL to the final reachable HTTPS approval address.</w:t>
      </w:r>
    </w:p>
    <w:p>
      <w:pPr>
        <w:numPr>
          <w:ilvl w:val="0"/>
          <w:numId w:val="15"/>
        </w:numPr>
        <w:spacing w:after="80" w:line="300" w:lineRule="auto"/>
      </w:pPr>
      <w:r>
        <w:t>Enable email, escalation, or live HITL only after credentials, ownership, allowlists, audit retention, and rollback have been verified.</w:t>
      </w:r>
    </w:p>
    <w:p>
      <w:pPr>
        <w:numPr>
          <w:ilvl w:val="0"/>
          <w:numId w:val="15"/>
        </w:numPr>
        <w:spacing w:after="80" w:line="300" w:lineRule="auto"/>
      </w:pPr>
      <w:r>
        <w:t>Render with kustomize/oc kustomize, apply, observe rollouts, inspect probes/logs, and run the acceptance checklist in Section 17.</w:t>
      </w:r>
    </w:p>
    <w:p>
      <w:pPr>
        <w:pStyle w:val="Heading1"/>
      </w:pPr>
      <w:r>
        <w:t>16. Security and safety controls</w:t>
      </w:r>
    </w:p>
    <w:tbl>
      <w:tblPr>
        <w:tblW w:type="dxa" w:w="9360"/>
        <w:jc w:val="center"/>
        <w:tblLayout w:type="fixed"/>
        <w:tblLook w:firstColumn="1" w:firstRow="1" w:lastColumn="0" w:lastRow="0" w:noHBand="0" w:noVBand="1" w:val="04A0"/>
        <w:tblInd w:w="120" w:type="dxa"/>
        <w:tblLayout w:type="fixed"/>
      </w:tblPr>
      <w:tblGrid>
        <w:gridCol w:w="1450"/>
        <w:gridCol w:w="3850"/>
        <w:gridCol w:w="4060"/>
      </w:tblGrid>
      <w:tr>
        <w:trPr>
          <w:tblHeader w:val="true"/>
          <w:cantSplit/>
        </w:trPr>
        <w:tc>
          <w:tcPr>
            <w:tcW w:type="dxa" w:w="1450"/>
            <w:tcMar>
              <w:top w:w="80" w:type="dxa"/>
              <w:start w:w="120" w:type="dxa"/>
              <w:bottom w:w="80" w:type="dxa"/>
              <w:end w:w="120" w:type="dxa"/>
            </w:tcMar>
            <w:shd w:fill="E8EEF5"/>
            <w:vAlign w:val="center"/>
          </w:tcPr>
          <w:p>
            <w:pPr>
              <w:spacing w:after="0"/>
            </w:pPr>
            <w:r>
              <w:rPr>
                <w:b/>
                <w:color w:val="0B2545"/>
                <w:sz w:val="16"/>
              </w:rPr>
              <w:t>Area</w:t>
            </w:r>
          </w:p>
        </w:tc>
        <w:tc>
          <w:tcPr>
            <w:tcW w:type="dxa" w:w="3850"/>
            <w:tcMar>
              <w:top w:w="80" w:type="dxa"/>
              <w:start w:w="120" w:type="dxa"/>
              <w:bottom w:w="80" w:type="dxa"/>
              <w:end w:w="120" w:type="dxa"/>
            </w:tcMar>
            <w:shd w:fill="E8EEF5"/>
            <w:vAlign w:val="center"/>
          </w:tcPr>
          <w:p>
            <w:pPr>
              <w:spacing w:after="0"/>
            </w:pPr>
            <w:r>
              <w:rPr>
                <w:b/>
                <w:color w:val="0B2545"/>
                <w:sz w:val="16"/>
              </w:rPr>
              <w:t>Implemented control</w:t>
            </w:r>
          </w:p>
        </w:tc>
        <w:tc>
          <w:tcPr>
            <w:tcW w:type="dxa" w:w="4060"/>
            <w:tcMar>
              <w:top w:w="80" w:type="dxa"/>
              <w:start w:w="120" w:type="dxa"/>
              <w:bottom w:w="80" w:type="dxa"/>
              <w:end w:w="120" w:type="dxa"/>
            </w:tcMar>
            <w:shd w:fill="E8EEF5"/>
            <w:vAlign w:val="center"/>
          </w:tcPr>
          <w:p>
            <w:pPr>
              <w:spacing w:after="0"/>
            </w:pPr>
            <w:r>
              <w:rPr>
                <w:b/>
                <w:color w:val="0B2545"/>
                <w:sz w:val="16"/>
              </w:rPr>
              <w:t>Production recommendation</w:t>
            </w:r>
          </w:p>
        </w:tc>
      </w:tr>
      <w:tr>
        <w:trPr>
          <w:cantSplit/>
        </w:trPr>
        <w:tc>
          <w:tcPr>
            <w:tcW w:type="dxa" w:w="1450"/>
            <w:tcMar>
              <w:top w:w="80" w:type="dxa"/>
              <w:start w:w="120" w:type="dxa"/>
              <w:bottom w:w="80" w:type="dxa"/>
              <w:end w:w="120" w:type="dxa"/>
            </w:tcMar>
            <w:vAlign w:val="top"/>
          </w:tcPr>
          <w:p>
            <w:pPr>
              <w:spacing w:after="0" w:line="264" w:lineRule="auto"/>
            </w:pPr>
            <w:r>
              <w:rPr>
                <w:sz w:val="16"/>
              </w:rPr>
              <w:t>Credentials</w:t>
            </w:r>
          </w:p>
        </w:tc>
        <w:tc>
          <w:tcPr>
            <w:tcW w:type="dxa" w:w="3850"/>
            <w:tcMar>
              <w:top w:w="80" w:type="dxa"/>
              <w:start w:w="120" w:type="dxa"/>
              <w:bottom w:w="80" w:type="dxa"/>
              <w:end w:w="120" w:type="dxa"/>
            </w:tcMar>
            <w:vAlign w:val="top"/>
          </w:tcPr>
          <w:p>
            <w:pPr>
              <w:spacing w:after="0" w:line="264" w:lineRule="auto"/>
            </w:pPr>
            <w:r>
              <w:rPr>
                <w:sz w:val="16"/>
              </w:rPr>
              <w:t>.env and secret files excluded from image/source patterns; manifests use placeholders</w:t>
            </w:r>
          </w:p>
        </w:tc>
        <w:tc>
          <w:tcPr>
            <w:tcW w:type="dxa" w:w="4060"/>
            <w:tcMar>
              <w:top w:w="80" w:type="dxa"/>
              <w:start w:w="120" w:type="dxa"/>
              <w:bottom w:w="80" w:type="dxa"/>
              <w:end w:w="120" w:type="dxa"/>
            </w:tcMar>
            <w:vAlign w:val="top"/>
          </w:tcPr>
          <w:p>
            <w:pPr>
              <w:spacing w:after="0" w:line="264" w:lineRule="auto"/>
            </w:pPr>
            <w:r>
              <w:rPr>
                <w:sz w:val="16"/>
              </w:rPr>
              <w:t>Use an approved secret manager; rotate database, LLM, mail, and OAuth secrets</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6"/>
              </w:rPr>
              <w:t>Container</w:t>
            </w:r>
          </w:p>
        </w:tc>
        <w:tc>
          <w:tcPr>
            <w:tcW w:type="dxa" w:w="3850"/>
            <w:tcMar>
              <w:top w:w="80" w:type="dxa"/>
              <w:start w:w="120" w:type="dxa"/>
              <w:bottom w:w="80" w:type="dxa"/>
              <w:end w:w="120" w:type="dxa"/>
            </w:tcMar>
            <w:vAlign w:val="top"/>
            <w:shd w:fill="FAFBFC"/>
          </w:tcPr>
          <w:p>
            <w:pPr>
              <w:spacing w:after="0" w:line="264" w:lineRule="auto"/>
            </w:pPr>
            <w:r>
              <w:rPr>
                <w:sz w:val="16"/>
              </w:rPr>
              <w:t>Non-root UID, no privilege escalation, dropped capabilities, read-only root filesystem</w:t>
            </w:r>
          </w:p>
        </w:tc>
        <w:tc>
          <w:tcPr>
            <w:tcW w:type="dxa" w:w="4060"/>
            <w:tcMar>
              <w:top w:w="80" w:type="dxa"/>
              <w:start w:w="120" w:type="dxa"/>
              <w:bottom w:w="80" w:type="dxa"/>
              <w:end w:w="120" w:type="dxa"/>
            </w:tcMar>
            <w:vAlign w:val="top"/>
            <w:shd w:fill="FAFBFC"/>
          </w:tcPr>
          <w:p>
            <w:pPr>
              <w:spacing w:after="0" w:line="264" w:lineRule="auto"/>
            </w:pPr>
            <w:r>
              <w:rPr>
                <w:sz w:val="16"/>
              </w:rPr>
              <w:t>Keep writable mounts limited to required temporary paths</w:t>
            </w:r>
          </w:p>
        </w:tc>
      </w:tr>
      <w:tr>
        <w:trPr>
          <w:cantSplit/>
        </w:trPr>
        <w:tc>
          <w:tcPr>
            <w:tcW w:type="dxa" w:w="1450"/>
            <w:tcMar>
              <w:top w:w="80" w:type="dxa"/>
              <w:start w:w="120" w:type="dxa"/>
              <w:bottom w:w="80" w:type="dxa"/>
              <w:end w:w="120" w:type="dxa"/>
            </w:tcMar>
            <w:vAlign w:val="top"/>
          </w:tcPr>
          <w:p>
            <w:pPr>
              <w:spacing w:after="0" w:line="264" w:lineRule="auto"/>
            </w:pPr>
            <w:r>
              <w:rPr>
                <w:sz w:val="16"/>
              </w:rPr>
              <w:t>Cluster reads</w:t>
            </w:r>
          </w:p>
        </w:tc>
        <w:tc>
          <w:tcPr>
            <w:tcW w:type="dxa" w:w="3850"/>
            <w:tcMar>
              <w:top w:w="80" w:type="dxa"/>
              <w:start w:w="120" w:type="dxa"/>
              <w:bottom w:w="80" w:type="dxa"/>
              <w:end w:w="120" w:type="dxa"/>
            </w:tcMar>
            <w:vAlign w:val="top"/>
          </w:tcPr>
          <w:p>
            <w:pPr>
              <w:spacing w:after="0" w:line="264" w:lineRule="auto"/>
            </w:pPr>
            <w:r>
              <w:rPr>
                <w:sz w:val="16"/>
              </w:rPr>
              <w:t>Dedicated ServiceAccount and read-oriented ClusterRole</w:t>
            </w:r>
          </w:p>
        </w:tc>
        <w:tc>
          <w:tcPr>
            <w:tcW w:type="dxa" w:w="4060"/>
            <w:tcMar>
              <w:top w:w="80" w:type="dxa"/>
              <w:start w:w="120" w:type="dxa"/>
              <w:bottom w:w="80" w:type="dxa"/>
              <w:end w:w="120" w:type="dxa"/>
            </w:tcMar>
            <w:vAlign w:val="top"/>
          </w:tcPr>
          <w:p>
            <w:pPr>
              <w:spacing w:after="0" w:line="264" w:lineRule="auto"/>
            </w:pPr>
            <w:r>
              <w:rPr>
                <w:sz w:val="16"/>
              </w:rPr>
              <w:t>Reduce resource verbs/namespaces to least privilege; review Secret reads</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6"/>
              </w:rPr>
              <w:t>Cluster mutation</w:t>
            </w:r>
          </w:p>
        </w:tc>
        <w:tc>
          <w:tcPr>
            <w:tcW w:type="dxa" w:w="3850"/>
            <w:tcMar>
              <w:top w:w="80" w:type="dxa"/>
              <w:start w:w="120" w:type="dxa"/>
              <w:bottom w:w="80" w:type="dxa"/>
              <w:end w:w="120" w:type="dxa"/>
            </w:tcMar>
            <w:vAlign w:val="top"/>
            <w:shd w:fill="FAFBFC"/>
          </w:tcPr>
          <w:p>
            <w:pPr>
              <w:spacing w:after="0" w:line="264" w:lineRule="auto"/>
            </w:pPr>
            <w:r>
              <w:rPr>
                <w:sz w:val="16"/>
              </w:rPr>
              <w:t>Optional RBAC excluded; exact action/target allowlists</w:t>
            </w:r>
          </w:p>
        </w:tc>
        <w:tc>
          <w:tcPr>
            <w:tcW w:type="dxa" w:w="4060"/>
            <w:tcMar>
              <w:top w:w="80" w:type="dxa"/>
              <w:start w:w="120" w:type="dxa"/>
              <w:bottom w:w="80" w:type="dxa"/>
              <w:end w:w="120" w:type="dxa"/>
            </w:tcMar>
            <w:vAlign w:val="top"/>
            <w:shd w:fill="FAFBFC"/>
          </w:tcPr>
          <w:p>
            <w:pPr>
              <w:spacing w:after="0" w:line="264" w:lineRule="auto"/>
            </w:pPr>
            <w:r>
              <w:rPr>
                <w:sz w:val="16"/>
              </w:rPr>
              <w:t>Approve and apply only narrow patch permission for the intended Deployment</w:t>
            </w:r>
          </w:p>
        </w:tc>
      </w:tr>
      <w:tr>
        <w:trPr>
          <w:cantSplit/>
        </w:trPr>
        <w:tc>
          <w:tcPr>
            <w:tcW w:type="dxa" w:w="1450"/>
            <w:tcMar>
              <w:top w:w="80" w:type="dxa"/>
              <w:start w:w="120" w:type="dxa"/>
              <w:bottom w:w="80" w:type="dxa"/>
              <w:end w:w="120" w:type="dxa"/>
            </w:tcMar>
            <w:vAlign w:val="top"/>
          </w:tcPr>
          <w:p>
            <w:pPr>
              <w:spacing w:after="0" w:line="264" w:lineRule="auto"/>
            </w:pPr>
            <w:r>
              <w:rPr>
                <w:sz w:val="16"/>
              </w:rPr>
              <w:t>Human approval</w:t>
            </w:r>
          </w:p>
        </w:tc>
        <w:tc>
          <w:tcPr>
            <w:tcW w:type="dxa" w:w="3850"/>
            <w:tcMar>
              <w:top w:w="80" w:type="dxa"/>
              <w:start w:w="120" w:type="dxa"/>
              <w:bottom w:w="80" w:type="dxa"/>
              <w:end w:w="120" w:type="dxa"/>
            </w:tcMar>
            <w:vAlign w:val="top"/>
          </w:tcPr>
          <w:p>
            <w:pPr>
              <w:spacing w:after="0" w:line="264" w:lineRule="auto"/>
            </w:pPr>
            <w:r>
              <w:rPr>
                <w:sz w:val="16"/>
              </w:rPr>
              <w:t>Exact approver identity, decision note, execution mode, audit trail</w:t>
            </w:r>
          </w:p>
        </w:tc>
        <w:tc>
          <w:tcPr>
            <w:tcW w:type="dxa" w:w="4060"/>
            <w:tcMar>
              <w:top w:w="80" w:type="dxa"/>
              <w:start w:w="120" w:type="dxa"/>
              <w:bottom w:w="80" w:type="dxa"/>
              <w:end w:w="120" w:type="dxa"/>
            </w:tcMar>
            <w:vAlign w:val="top"/>
          </w:tcPr>
          <w:p>
            <w:pPr>
              <w:spacing w:after="0" w:line="264" w:lineRule="auto"/>
            </w:pPr>
            <w:r>
              <w:rPr>
                <w:sz w:val="16"/>
              </w:rPr>
              <w:t>Use SSO/authenticated Route; avoid email identity as the only production identity proof</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6"/>
              </w:rPr>
              <w:t>Live gate</w:t>
            </w:r>
          </w:p>
        </w:tc>
        <w:tc>
          <w:tcPr>
            <w:tcW w:type="dxa" w:w="3850"/>
            <w:tcMar>
              <w:top w:w="80" w:type="dxa"/>
              <w:start w:w="120" w:type="dxa"/>
              <w:bottom w:w="80" w:type="dxa"/>
              <w:end w:w="120" w:type="dxa"/>
            </w:tcMar>
            <w:vAlign w:val="top"/>
            <w:shd w:fill="FAFBFC"/>
          </w:tcPr>
          <w:p>
            <w:pPr>
              <w:spacing w:after="0" w:line="264" w:lineRule="auto"/>
            </w:pPr>
            <w:r>
              <w:rPr>
                <w:sz w:val="16"/>
              </w:rPr>
              <w:t>Separate enablement flag and mandatory shared secret</w:t>
            </w:r>
          </w:p>
        </w:tc>
        <w:tc>
          <w:tcPr>
            <w:tcW w:type="dxa" w:w="4060"/>
            <w:tcMar>
              <w:top w:w="80" w:type="dxa"/>
              <w:start w:w="120" w:type="dxa"/>
              <w:bottom w:w="80" w:type="dxa"/>
              <w:end w:w="120" w:type="dxa"/>
            </w:tcMar>
            <w:vAlign w:val="top"/>
            <w:shd w:fill="FAFBFC"/>
          </w:tcPr>
          <w:p>
            <w:pPr>
              <w:spacing w:after="0" w:line="264" w:lineRule="auto"/>
            </w:pPr>
            <w:r>
              <w:rPr>
                <w:sz w:val="16"/>
              </w:rPr>
              <w:t>Store secret securely and rotate; consider signed, single-use approval tokens</w:t>
            </w:r>
          </w:p>
        </w:tc>
      </w:tr>
      <w:tr>
        <w:trPr>
          <w:cantSplit/>
        </w:trPr>
        <w:tc>
          <w:tcPr>
            <w:tcW w:type="dxa" w:w="1450"/>
            <w:tcMar>
              <w:top w:w="80" w:type="dxa"/>
              <w:start w:w="120" w:type="dxa"/>
              <w:bottom w:w="80" w:type="dxa"/>
              <w:end w:w="120" w:type="dxa"/>
            </w:tcMar>
            <w:vAlign w:val="top"/>
          </w:tcPr>
          <w:p>
            <w:pPr>
              <w:spacing w:after="0" w:line="264" w:lineRule="auto"/>
            </w:pPr>
            <w:r>
              <w:rPr>
                <w:sz w:val="16"/>
              </w:rPr>
              <w:t>Network</w:t>
            </w:r>
          </w:p>
        </w:tc>
        <w:tc>
          <w:tcPr>
            <w:tcW w:type="dxa" w:w="3850"/>
            <w:tcMar>
              <w:top w:w="80" w:type="dxa"/>
              <w:start w:w="120" w:type="dxa"/>
              <w:bottom w:w="80" w:type="dxa"/>
              <w:end w:w="120" w:type="dxa"/>
            </w:tcMar>
            <w:vAlign w:val="top"/>
          </w:tcPr>
          <w:p>
            <w:pPr>
              <w:spacing w:after="0" w:line="264" w:lineRule="auto"/>
            </w:pPr>
            <w:r>
              <w:rPr>
                <w:sz w:val="16"/>
              </w:rPr>
              <w:t>LAN URL for local use; Route manifest for OpenShift</w:t>
            </w:r>
          </w:p>
        </w:tc>
        <w:tc>
          <w:tcPr>
            <w:tcW w:type="dxa" w:w="4060"/>
            <w:tcMar>
              <w:top w:w="80" w:type="dxa"/>
              <w:start w:w="120" w:type="dxa"/>
              <w:bottom w:w="80" w:type="dxa"/>
              <w:end w:w="120" w:type="dxa"/>
            </w:tcMar>
            <w:vAlign w:val="top"/>
          </w:tcPr>
          <w:p>
            <w:pPr>
              <w:spacing w:after="0" w:line="264" w:lineRule="auto"/>
            </w:pPr>
            <w:r>
              <w:rPr>
                <w:sz w:val="16"/>
              </w:rPr>
              <w:t>TLS, network policy, trusted ingress, database TLS, egress allowlist</w:t>
            </w:r>
          </w:p>
        </w:tc>
      </w:tr>
      <w:tr>
        <w:trPr>
          <w:cantSplit/>
        </w:trPr>
        <w:tc>
          <w:tcPr>
            <w:tcW w:type="dxa" w:w="1450"/>
            <w:tcMar>
              <w:top w:w="80" w:type="dxa"/>
              <w:start w:w="120" w:type="dxa"/>
              <w:bottom w:w="80" w:type="dxa"/>
              <w:end w:w="120" w:type="dxa"/>
            </w:tcMar>
            <w:vAlign w:val="top"/>
            <w:shd w:fill="FAFBFC"/>
          </w:tcPr>
          <w:p>
            <w:pPr>
              <w:spacing w:after="0" w:line="264" w:lineRule="auto"/>
            </w:pPr>
            <w:r>
              <w:rPr>
                <w:sz w:val="16"/>
              </w:rPr>
              <w:t>AI</w:t>
            </w:r>
          </w:p>
        </w:tc>
        <w:tc>
          <w:tcPr>
            <w:tcW w:type="dxa" w:w="3850"/>
            <w:tcMar>
              <w:top w:w="80" w:type="dxa"/>
              <w:start w:w="120" w:type="dxa"/>
              <w:bottom w:w="80" w:type="dxa"/>
              <w:end w:w="120" w:type="dxa"/>
            </w:tcMar>
            <w:vAlign w:val="top"/>
            <w:shd w:fill="FAFBFC"/>
          </w:tcPr>
          <w:p>
            <w:pPr>
              <w:spacing w:after="0" w:line="264" w:lineRule="auto"/>
            </w:pPr>
            <w:r>
              <w:rPr>
                <w:sz w:val="16"/>
              </w:rPr>
              <w:t>Structured schemas and deterministic temperature</w:t>
            </w:r>
          </w:p>
        </w:tc>
        <w:tc>
          <w:tcPr>
            <w:tcW w:type="dxa" w:w="4060"/>
            <w:tcMar>
              <w:top w:w="80" w:type="dxa"/>
              <w:start w:w="120" w:type="dxa"/>
              <w:bottom w:w="80" w:type="dxa"/>
              <w:end w:w="120" w:type="dxa"/>
            </w:tcMar>
            <w:vAlign w:val="top"/>
            <w:shd w:fill="FAFBFC"/>
          </w:tcPr>
          <w:p>
            <w:pPr>
              <w:spacing w:after="0" w:line="264" w:lineRule="auto"/>
            </w:pPr>
            <w:r>
              <w:rPr>
                <w:sz w:val="16"/>
              </w:rPr>
              <w:t>Redact sensitive payloads; define model/data retention and prompt-injection controls</w:t>
            </w:r>
          </w:p>
        </w:tc>
      </w:tr>
      <w:tr>
        <w:trPr>
          <w:cantSplit/>
        </w:trPr>
        <w:tc>
          <w:tcPr>
            <w:tcW w:type="dxa" w:w="1450"/>
            <w:tcMar>
              <w:top w:w="80" w:type="dxa"/>
              <w:start w:w="120" w:type="dxa"/>
              <w:bottom w:w="80" w:type="dxa"/>
              <w:end w:w="120" w:type="dxa"/>
            </w:tcMar>
            <w:vAlign w:val="top"/>
          </w:tcPr>
          <w:p>
            <w:pPr>
              <w:spacing w:after="0" w:line="264" w:lineRule="auto"/>
            </w:pPr>
            <w:r>
              <w:rPr>
                <w:sz w:val="16"/>
              </w:rPr>
              <w:t>Audit</w:t>
            </w:r>
          </w:p>
        </w:tc>
        <w:tc>
          <w:tcPr>
            <w:tcW w:type="dxa" w:w="3850"/>
            <w:tcMar>
              <w:top w:w="80" w:type="dxa"/>
              <w:start w:w="120" w:type="dxa"/>
              <w:bottom w:w="80" w:type="dxa"/>
              <w:end w:w="120" w:type="dxa"/>
            </w:tcMar>
            <w:vAlign w:val="top"/>
          </w:tcPr>
          <w:p>
            <w:pPr>
              <w:spacing w:after="0" w:line="264" w:lineRule="auto"/>
            </w:pPr>
            <w:r>
              <w:rPr>
                <w:sz w:val="16"/>
              </w:rPr>
              <w:t>Pre/post JSONB and decision/execution timestamps</w:t>
            </w:r>
          </w:p>
        </w:tc>
        <w:tc>
          <w:tcPr>
            <w:tcW w:type="dxa" w:w="4060"/>
            <w:tcMar>
              <w:top w:w="80" w:type="dxa"/>
              <w:start w:w="120" w:type="dxa"/>
              <w:bottom w:w="80" w:type="dxa"/>
              <w:end w:w="120" w:type="dxa"/>
            </w:tcMar>
            <w:vAlign w:val="top"/>
          </w:tcPr>
          <w:p>
            <w:pPr>
              <w:spacing w:after="0" w:line="264" w:lineRule="auto"/>
            </w:pPr>
            <w:r>
              <w:rPr>
                <w:sz w:val="16"/>
              </w:rPr>
              <w:t>Set retention, immutable export, alerting, and access review</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CEBEC"/>
          </w:tcPr>
          <w:p>
            <w:pPr>
              <w:spacing w:after="60"/>
            </w:pPr>
            <w:r>
              <w:rPr>
                <w:b/>
                <w:color w:val="9B1C1C"/>
              </w:rPr>
              <w:t>Secret-handling rule</w:t>
            </w:r>
          </w:p>
          <w:p>
            <w:pPr>
              <w:spacing w:after="0" w:line="276" w:lineRule="auto"/>
            </w:pPr>
            <w:r>
              <w:t>Never commit .env, kubeconfig, OAuth refresh tokens, API keys, SMTP passwords, or production Secret values. This guide intentionally contains names and connection patterns only.</w:t>
            </w:r>
          </w:p>
        </w:tc>
      </w:tr>
    </w:tbl>
    <w:p>
      <w:pPr>
        <w:spacing w:after="0"/>
      </w:pPr>
    </w:p>
    <w:p>
      <w:pPr>
        <w:pStyle w:val="Heading1"/>
      </w:pPr>
      <w:r>
        <w:t>17. Testing and validation status</w:t>
      </w:r>
    </w:p>
    <w:tbl>
      <w:tblPr>
        <w:tblW w:type="dxa" w:w="9360"/>
        <w:jc w:val="center"/>
        <w:tblLayout w:type="fixed"/>
        <w:tblLook w:firstColumn="1" w:firstRow="1" w:lastColumn="0" w:lastRow="0" w:noHBand="0" w:noVBand="1" w:val="04A0"/>
        <w:tblInd w:w="120" w:type="dxa"/>
        <w:tblLayout w:type="fixed"/>
      </w:tblPr>
      <w:tblGrid>
        <w:gridCol w:w="2250"/>
        <w:gridCol w:w="1750"/>
        <w:gridCol w:w="5360"/>
      </w:tblGrid>
      <w:tr>
        <w:trPr>
          <w:tblHeader w:val="true"/>
          <w:cantSplit/>
        </w:trPr>
        <w:tc>
          <w:tcPr>
            <w:tcW w:type="dxa" w:w="2250"/>
            <w:tcMar>
              <w:top w:w="80" w:type="dxa"/>
              <w:start w:w="120" w:type="dxa"/>
              <w:bottom w:w="80" w:type="dxa"/>
              <w:end w:w="120" w:type="dxa"/>
            </w:tcMar>
            <w:shd w:fill="E8EEF5"/>
            <w:vAlign w:val="center"/>
          </w:tcPr>
          <w:p>
            <w:pPr>
              <w:spacing w:after="0"/>
            </w:pPr>
            <w:r>
              <w:rPr>
                <w:b/>
                <w:color w:val="0B2545"/>
                <w:sz w:val="17"/>
              </w:rPr>
              <w:t>Area</w:t>
            </w:r>
          </w:p>
        </w:tc>
        <w:tc>
          <w:tcPr>
            <w:tcW w:type="dxa" w:w="1750"/>
            <w:tcMar>
              <w:top w:w="80" w:type="dxa"/>
              <w:start w:w="120" w:type="dxa"/>
              <w:bottom w:w="80" w:type="dxa"/>
              <w:end w:w="120" w:type="dxa"/>
            </w:tcMar>
            <w:shd w:fill="E8EEF5"/>
            <w:vAlign w:val="center"/>
          </w:tcPr>
          <w:p>
            <w:pPr>
              <w:spacing w:after="0"/>
            </w:pPr>
            <w:r>
              <w:rPr>
                <w:b/>
                <w:color w:val="0B2545"/>
                <w:sz w:val="17"/>
              </w:rPr>
              <w:t>Result</w:t>
            </w:r>
          </w:p>
        </w:tc>
        <w:tc>
          <w:tcPr>
            <w:tcW w:type="dxa" w:w="5360"/>
            <w:tcMar>
              <w:top w:w="80" w:type="dxa"/>
              <w:start w:w="120" w:type="dxa"/>
              <w:bottom w:w="80" w:type="dxa"/>
              <w:end w:w="120" w:type="dxa"/>
            </w:tcMar>
            <w:shd w:fill="E8EEF5"/>
            <w:vAlign w:val="center"/>
          </w:tcPr>
          <w:p>
            <w:pPr>
              <w:spacing w:after="0"/>
            </w:pPr>
            <w:r>
              <w:rPr>
                <w:b/>
                <w:color w:val="0B2545"/>
                <w:sz w:val="17"/>
              </w:rPr>
              <w:t>Evidence/interpretation</w:t>
            </w:r>
          </w:p>
        </w:tc>
      </w:tr>
      <w:tr>
        <w:trPr>
          <w:cantSplit/>
        </w:trPr>
        <w:tc>
          <w:tcPr>
            <w:tcW w:type="dxa" w:w="2250"/>
            <w:tcMar>
              <w:top w:w="80" w:type="dxa"/>
              <w:start w:w="120" w:type="dxa"/>
              <w:bottom w:w="80" w:type="dxa"/>
              <w:end w:w="120" w:type="dxa"/>
            </w:tcMar>
            <w:vAlign w:val="top"/>
          </w:tcPr>
          <w:p>
            <w:pPr>
              <w:spacing w:after="0" w:line="264" w:lineRule="auto"/>
            </w:pPr>
            <w:r>
              <w:rPr>
                <w:sz w:val="17"/>
              </w:rPr>
              <w:t>Python syntax/import compilation</w:t>
            </w:r>
          </w:p>
        </w:tc>
        <w:tc>
          <w:tcPr>
            <w:tcW w:type="dxa" w:w="1750"/>
            <w:tcMar>
              <w:top w:w="80" w:type="dxa"/>
              <w:start w:w="120" w:type="dxa"/>
              <w:bottom w:w="80" w:type="dxa"/>
              <w:end w:w="120" w:type="dxa"/>
            </w:tcMar>
            <w:vAlign w:val="top"/>
          </w:tcPr>
          <w:p>
            <w:pPr>
              <w:spacing w:after="0" w:line="264" w:lineRule="auto"/>
            </w:pPr>
            <w:r>
              <w:rPr>
                <w:sz w:val="17"/>
              </w:rPr>
              <w:t>Passed</w:t>
            </w:r>
          </w:p>
        </w:tc>
        <w:tc>
          <w:tcPr>
            <w:tcW w:type="dxa" w:w="5360"/>
            <w:tcMar>
              <w:top w:w="80" w:type="dxa"/>
              <w:start w:w="120" w:type="dxa"/>
              <w:bottom w:w="80" w:type="dxa"/>
              <w:end w:w="120" w:type="dxa"/>
            </w:tcMar>
            <w:vAlign w:val="top"/>
          </w:tcPr>
          <w:p>
            <w:pPr>
              <w:spacing w:after="0" w:line="264" w:lineRule="auto"/>
            </w:pPr>
            <w:r>
              <w:rPr>
                <w:sz w:val="17"/>
              </w:rPr>
              <w:t>Project modules compiled during validation.</w:t>
            </w:r>
          </w:p>
        </w:tc>
      </w:tr>
      <w:tr>
        <w:trPr>
          <w:cantSplit/>
        </w:trPr>
        <w:tc>
          <w:tcPr>
            <w:tcW w:type="dxa" w:w="2250"/>
            <w:tcMar>
              <w:top w:w="80" w:type="dxa"/>
              <w:start w:w="120" w:type="dxa"/>
              <w:bottom w:w="80" w:type="dxa"/>
              <w:end w:w="120" w:type="dxa"/>
            </w:tcMar>
            <w:vAlign w:val="top"/>
            <w:shd w:fill="FAFBFC"/>
          </w:tcPr>
          <w:p>
            <w:pPr>
              <w:spacing w:after="0" w:line="264" w:lineRule="auto"/>
            </w:pPr>
            <w:r>
              <w:rPr>
                <w:sz w:val="17"/>
              </w:rPr>
              <w:t>Focused unit tests</w:t>
            </w:r>
          </w:p>
        </w:tc>
        <w:tc>
          <w:tcPr>
            <w:tcW w:type="dxa" w:w="1750"/>
            <w:tcMar>
              <w:top w:w="80" w:type="dxa"/>
              <w:start w:w="120" w:type="dxa"/>
              <w:bottom w:w="80" w:type="dxa"/>
              <w:end w:w="120" w:type="dxa"/>
            </w:tcMar>
            <w:vAlign w:val="top"/>
            <w:shd w:fill="FAFBFC"/>
          </w:tcPr>
          <w:p>
            <w:pPr>
              <w:spacing w:after="0" w:line="264" w:lineRule="auto"/>
            </w:pPr>
            <w:r>
              <w:rPr>
                <w:sz w:val="17"/>
              </w:rPr>
              <w:t>7 passed</w:t>
            </w:r>
          </w:p>
        </w:tc>
        <w:tc>
          <w:tcPr>
            <w:tcW w:type="dxa" w:w="5360"/>
            <w:tcMar>
              <w:top w:w="80" w:type="dxa"/>
              <w:start w:w="120" w:type="dxa"/>
              <w:bottom w:w="80" w:type="dxa"/>
              <w:end w:w="120" w:type="dxa"/>
            </w:tcMar>
            <w:vAlign w:val="top"/>
            <w:shd w:fill="FAFBFC"/>
          </w:tcPr>
          <w:p>
            <w:pPr>
              <w:spacing w:after="0" w:line="264" w:lineRule="auto"/>
            </w:pPr>
            <w:r>
              <w:rPr>
                <w:sz w:val="17"/>
              </w:rPr>
              <w:t>Relevant non-pytest unittest coverage passed.</w:t>
            </w:r>
          </w:p>
        </w:tc>
      </w:tr>
      <w:tr>
        <w:trPr>
          <w:cantSplit/>
        </w:trPr>
        <w:tc>
          <w:tcPr>
            <w:tcW w:type="dxa" w:w="2250"/>
            <w:tcMar>
              <w:top w:w="80" w:type="dxa"/>
              <w:start w:w="120" w:type="dxa"/>
              <w:bottom w:w="80" w:type="dxa"/>
              <w:end w:w="120" w:type="dxa"/>
            </w:tcMar>
            <w:vAlign w:val="top"/>
          </w:tcPr>
          <w:p>
            <w:pPr>
              <w:spacing w:after="0" w:line="264" w:lineRule="auto"/>
            </w:pPr>
            <w:r>
              <w:rPr>
                <w:sz w:val="17"/>
              </w:rPr>
              <w:t>Full pytest suite</w:t>
            </w:r>
          </w:p>
        </w:tc>
        <w:tc>
          <w:tcPr>
            <w:tcW w:type="dxa" w:w="1750"/>
            <w:tcMar>
              <w:top w:w="80" w:type="dxa"/>
              <w:start w:w="120" w:type="dxa"/>
              <w:bottom w:w="80" w:type="dxa"/>
              <w:end w:w="120" w:type="dxa"/>
            </w:tcMar>
            <w:vAlign w:val="top"/>
          </w:tcPr>
          <w:p>
            <w:pPr>
              <w:spacing w:after="0" w:line="264" w:lineRule="auto"/>
            </w:pPr>
            <w:r>
              <w:rPr>
                <w:sz w:val="17"/>
              </w:rPr>
              <w:t>Not completed</w:t>
            </w:r>
          </w:p>
        </w:tc>
        <w:tc>
          <w:tcPr>
            <w:tcW w:type="dxa" w:w="5360"/>
            <w:tcMar>
              <w:top w:w="80" w:type="dxa"/>
              <w:start w:w="120" w:type="dxa"/>
              <w:bottom w:w="80" w:type="dxa"/>
              <w:end w:w="120" w:type="dxa"/>
            </w:tcMar>
            <w:vAlign w:val="top"/>
          </w:tcPr>
          <w:p>
            <w:pPr>
              <w:spacing w:after="0" w:line="264" w:lineRule="auto"/>
            </w:pPr>
            <w:r>
              <w:rPr>
                <w:sz w:val="17"/>
              </w:rPr>
              <w:t>pytest is not installed in the current project virtual environment; test_remediation_safety.py imports pytest.</w:t>
            </w:r>
          </w:p>
        </w:tc>
      </w:tr>
      <w:tr>
        <w:trPr>
          <w:cantSplit/>
        </w:trPr>
        <w:tc>
          <w:tcPr>
            <w:tcW w:type="dxa" w:w="2250"/>
            <w:tcMar>
              <w:top w:w="80" w:type="dxa"/>
              <w:start w:w="120" w:type="dxa"/>
              <w:bottom w:w="80" w:type="dxa"/>
              <w:end w:w="120" w:type="dxa"/>
            </w:tcMar>
            <w:vAlign w:val="top"/>
            <w:shd w:fill="FAFBFC"/>
          </w:tcPr>
          <w:p>
            <w:pPr>
              <w:spacing w:after="0" w:line="264" w:lineRule="auto"/>
            </w:pPr>
            <w:r>
              <w:rPr>
                <w:sz w:val="17"/>
              </w:rPr>
              <w:t>Docker Compose config</w:t>
            </w:r>
          </w:p>
        </w:tc>
        <w:tc>
          <w:tcPr>
            <w:tcW w:type="dxa" w:w="1750"/>
            <w:tcMar>
              <w:top w:w="80" w:type="dxa"/>
              <w:start w:w="120" w:type="dxa"/>
              <w:bottom w:w="80" w:type="dxa"/>
              <w:end w:w="120" w:type="dxa"/>
            </w:tcMar>
            <w:vAlign w:val="top"/>
            <w:shd w:fill="FAFBFC"/>
          </w:tcPr>
          <w:p>
            <w:pPr>
              <w:spacing w:after="0" w:line="264" w:lineRule="auto"/>
            </w:pPr>
            <w:r>
              <w:rPr>
                <w:sz w:val="17"/>
              </w:rPr>
              <w:t>Passed</w:t>
            </w:r>
          </w:p>
        </w:tc>
        <w:tc>
          <w:tcPr>
            <w:tcW w:type="dxa" w:w="5360"/>
            <w:tcMar>
              <w:top w:w="80" w:type="dxa"/>
              <w:start w:w="120" w:type="dxa"/>
              <w:bottom w:w="80" w:type="dxa"/>
              <w:end w:w="120" w:type="dxa"/>
            </w:tcMar>
            <w:vAlign w:val="top"/>
            <w:shd w:fill="FAFBFC"/>
          </w:tcPr>
          <w:p>
            <w:pPr>
              <w:spacing w:after="0" w:line="264" w:lineRule="auto"/>
            </w:pPr>
            <w:r>
              <w:rPr>
                <w:sz w:val="17"/>
              </w:rPr>
              <w:t>Rendered configuration accepted with dashboard host port 8502.</w:t>
            </w:r>
          </w:p>
        </w:tc>
      </w:tr>
      <w:tr>
        <w:trPr>
          <w:cantSplit/>
        </w:trPr>
        <w:tc>
          <w:tcPr>
            <w:tcW w:type="dxa" w:w="2250"/>
            <w:tcMar>
              <w:top w:w="80" w:type="dxa"/>
              <w:start w:w="120" w:type="dxa"/>
              <w:bottom w:w="80" w:type="dxa"/>
              <w:end w:w="120" w:type="dxa"/>
            </w:tcMar>
            <w:vAlign w:val="top"/>
          </w:tcPr>
          <w:p>
            <w:pPr>
              <w:spacing w:after="0" w:line="264" w:lineRule="auto"/>
            </w:pPr>
            <w:r>
              <w:rPr>
                <w:sz w:val="17"/>
              </w:rPr>
              <w:t>Kustomize render</w:t>
            </w:r>
          </w:p>
        </w:tc>
        <w:tc>
          <w:tcPr>
            <w:tcW w:type="dxa" w:w="1750"/>
            <w:tcMar>
              <w:top w:w="80" w:type="dxa"/>
              <w:start w:w="120" w:type="dxa"/>
              <w:bottom w:w="80" w:type="dxa"/>
              <w:end w:w="120" w:type="dxa"/>
            </w:tcMar>
            <w:vAlign w:val="top"/>
          </w:tcPr>
          <w:p>
            <w:pPr>
              <w:spacing w:after="0" w:line="264" w:lineRule="auto"/>
            </w:pPr>
            <w:r>
              <w:rPr>
                <w:sz w:val="17"/>
              </w:rPr>
              <w:t>Passed</w:t>
            </w:r>
          </w:p>
        </w:tc>
        <w:tc>
          <w:tcPr>
            <w:tcW w:type="dxa" w:w="5360"/>
            <w:tcMar>
              <w:top w:w="80" w:type="dxa"/>
              <w:start w:w="120" w:type="dxa"/>
              <w:bottom w:w="80" w:type="dxa"/>
              <w:end w:w="120" w:type="dxa"/>
            </w:tcMar>
            <w:vAlign w:val="top"/>
          </w:tcPr>
          <w:p>
            <w:pPr>
              <w:spacing w:after="0" w:line="264" w:lineRule="auto"/>
            </w:pPr>
            <w:r>
              <w:rPr>
                <w:sz w:val="17"/>
              </w:rPr>
              <w:t>Deployment manifests rendered successfully.</w:t>
            </w:r>
          </w:p>
        </w:tc>
      </w:tr>
      <w:tr>
        <w:trPr>
          <w:cantSplit/>
        </w:trPr>
        <w:tc>
          <w:tcPr>
            <w:tcW w:type="dxa" w:w="2250"/>
            <w:tcMar>
              <w:top w:w="80" w:type="dxa"/>
              <w:start w:w="120" w:type="dxa"/>
              <w:bottom w:w="80" w:type="dxa"/>
              <w:end w:w="120" w:type="dxa"/>
            </w:tcMar>
            <w:vAlign w:val="top"/>
            <w:shd w:fill="FAFBFC"/>
          </w:tcPr>
          <w:p>
            <w:pPr>
              <w:spacing w:after="0" w:line="264" w:lineRule="auto"/>
            </w:pPr>
            <w:r>
              <w:rPr>
                <w:sz w:val="17"/>
              </w:rPr>
              <w:t>Server-side dry-run</w:t>
            </w:r>
          </w:p>
        </w:tc>
        <w:tc>
          <w:tcPr>
            <w:tcW w:type="dxa" w:w="1750"/>
            <w:tcMar>
              <w:top w:w="80" w:type="dxa"/>
              <w:start w:w="120" w:type="dxa"/>
              <w:bottom w:w="80" w:type="dxa"/>
              <w:end w:w="120" w:type="dxa"/>
            </w:tcMar>
            <w:vAlign w:val="top"/>
            <w:shd w:fill="FAFBFC"/>
          </w:tcPr>
          <w:p>
            <w:pPr>
              <w:spacing w:after="0" w:line="264" w:lineRule="auto"/>
            </w:pPr>
            <w:r>
              <w:rPr>
                <w:sz w:val="17"/>
              </w:rPr>
              <w:t>Partially blocked</w:t>
            </w:r>
          </w:p>
        </w:tc>
        <w:tc>
          <w:tcPr>
            <w:tcW w:type="dxa" w:w="5360"/>
            <w:tcMar>
              <w:top w:w="80" w:type="dxa"/>
              <w:start w:w="120" w:type="dxa"/>
              <w:bottom w:w="80" w:type="dxa"/>
              <w:end w:w="120" w:type="dxa"/>
            </w:tcMar>
            <w:vAlign w:val="top"/>
            <w:shd w:fill="FAFBFC"/>
          </w:tcPr>
          <w:p>
            <w:pPr>
              <w:spacing w:after="0" w:line="264" w:lineRule="auto"/>
            </w:pPr>
            <w:r>
              <w:rPr>
                <w:sz w:val="17"/>
              </w:rPr>
              <w:t>The target namespace does not exist yet in the live cluster transaction; this is an environment prerequisite, not a YAML parsing failure.</w:t>
            </w:r>
          </w:p>
        </w:tc>
      </w:tr>
      <w:tr>
        <w:trPr>
          <w:cantSplit/>
        </w:trPr>
        <w:tc>
          <w:tcPr>
            <w:tcW w:type="dxa" w:w="2250"/>
            <w:tcMar>
              <w:top w:w="80" w:type="dxa"/>
              <w:start w:w="120" w:type="dxa"/>
              <w:bottom w:w="80" w:type="dxa"/>
              <w:end w:w="120" w:type="dxa"/>
            </w:tcMar>
            <w:vAlign w:val="top"/>
          </w:tcPr>
          <w:p>
            <w:pPr>
              <w:spacing w:after="0" w:line="264" w:lineRule="auto"/>
            </w:pPr>
            <w:r>
              <w:rPr>
                <w:sz w:val="17"/>
              </w:rPr>
              <w:t>Local services</w:t>
            </w:r>
          </w:p>
        </w:tc>
        <w:tc>
          <w:tcPr>
            <w:tcW w:type="dxa" w:w="1750"/>
            <w:tcMar>
              <w:top w:w="80" w:type="dxa"/>
              <w:start w:w="120" w:type="dxa"/>
              <w:bottom w:w="80" w:type="dxa"/>
              <w:end w:w="120" w:type="dxa"/>
            </w:tcMar>
            <w:vAlign w:val="top"/>
          </w:tcPr>
          <w:p>
            <w:pPr>
              <w:spacing w:after="0" w:line="264" w:lineRule="auto"/>
            </w:pPr>
            <w:r>
              <w:rPr>
                <w:sz w:val="17"/>
              </w:rPr>
              <w:t>Passed</w:t>
            </w:r>
          </w:p>
        </w:tc>
        <w:tc>
          <w:tcPr>
            <w:tcW w:type="dxa" w:w="5360"/>
            <w:tcMar>
              <w:top w:w="80" w:type="dxa"/>
              <w:start w:w="120" w:type="dxa"/>
              <w:bottom w:w="80" w:type="dxa"/>
              <w:end w:w="120" w:type="dxa"/>
            </w:tcMar>
            <w:vAlign w:val="top"/>
          </w:tcPr>
          <w:p>
            <w:pPr>
              <w:spacing w:after="0" w:line="264" w:lineRule="auto"/>
            </w:pPr>
            <w:r>
              <w:rPr>
                <w:sz w:val="17"/>
              </w:rPr>
              <w:t>PostgreSQL, scheduler, and dashboard observed healthy.</w:t>
            </w:r>
          </w:p>
        </w:tc>
      </w:tr>
      <w:tr>
        <w:trPr>
          <w:cantSplit/>
        </w:trPr>
        <w:tc>
          <w:tcPr>
            <w:tcW w:type="dxa" w:w="2250"/>
            <w:tcMar>
              <w:top w:w="80" w:type="dxa"/>
              <w:start w:w="120" w:type="dxa"/>
              <w:bottom w:w="80" w:type="dxa"/>
              <w:end w:w="120" w:type="dxa"/>
            </w:tcMar>
            <w:vAlign w:val="top"/>
            <w:shd w:fill="FAFBFC"/>
          </w:tcPr>
          <w:p>
            <w:pPr>
              <w:spacing w:after="0" w:line="264" w:lineRule="auto"/>
            </w:pPr>
            <w:r>
              <w:rPr>
                <w:sz w:val="17"/>
              </w:rPr>
              <w:t>OpenShift collection</w:t>
            </w:r>
          </w:p>
        </w:tc>
        <w:tc>
          <w:tcPr>
            <w:tcW w:type="dxa" w:w="1750"/>
            <w:tcMar>
              <w:top w:w="80" w:type="dxa"/>
              <w:start w:w="120" w:type="dxa"/>
              <w:bottom w:w="80" w:type="dxa"/>
              <w:end w:w="120" w:type="dxa"/>
            </w:tcMar>
            <w:vAlign w:val="top"/>
            <w:shd w:fill="FAFBFC"/>
          </w:tcPr>
          <w:p>
            <w:pPr>
              <w:spacing w:after="0" w:line="264" w:lineRule="auto"/>
            </w:pPr>
            <w:r>
              <w:rPr>
                <w:sz w:val="17"/>
              </w:rPr>
              <w:t>Passed</w:t>
            </w:r>
          </w:p>
        </w:tc>
        <w:tc>
          <w:tcPr>
            <w:tcW w:type="dxa" w:w="5360"/>
            <w:tcMar>
              <w:top w:w="80" w:type="dxa"/>
              <w:start w:w="120" w:type="dxa"/>
              <w:bottom w:w="80" w:type="dxa"/>
              <w:end w:w="120" w:type="dxa"/>
            </w:tcMar>
            <w:vAlign w:val="top"/>
            <w:shd w:fill="FAFBFC"/>
          </w:tcPr>
          <w:p>
            <w:pPr>
              <w:spacing w:after="0" w:line="264" w:lineRule="auto"/>
            </w:pPr>
            <w:r>
              <w:rPr>
                <w:sz w:val="17"/>
              </w:rPr>
              <w:t>Monitoring cycles completed against the configured cluster.</w:t>
            </w:r>
          </w:p>
        </w:tc>
      </w:tr>
      <w:tr>
        <w:trPr>
          <w:cantSplit/>
        </w:trPr>
        <w:tc>
          <w:tcPr>
            <w:tcW w:type="dxa" w:w="2250"/>
            <w:tcMar>
              <w:top w:w="80" w:type="dxa"/>
              <w:start w:w="120" w:type="dxa"/>
              <w:bottom w:w="80" w:type="dxa"/>
              <w:end w:w="120" w:type="dxa"/>
            </w:tcMar>
            <w:vAlign w:val="top"/>
          </w:tcPr>
          <w:p>
            <w:pPr>
              <w:spacing w:after="0" w:line="264" w:lineRule="auto"/>
            </w:pPr>
            <w:r>
              <w:rPr>
                <w:sz w:val="17"/>
              </w:rPr>
              <w:t>Database persistence</w:t>
            </w:r>
          </w:p>
        </w:tc>
        <w:tc>
          <w:tcPr>
            <w:tcW w:type="dxa" w:w="1750"/>
            <w:tcMar>
              <w:top w:w="80" w:type="dxa"/>
              <w:start w:w="120" w:type="dxa"/>
              <w:bottom w:w="80" w:type="dxa"/>
              <w:end w:w="120" w:type="dxa"/>
            </w:tcMar>
            <w:vAlign w:val="top"/>
          </w:tcPr>
          <w:p>
            <w:pPr>
              <w:spacing w:after="0" w:line="264" w:lineRule="auto"/>
            </w:pPr>
            <w:r>
              <w:rPr>
                <w:sz w:val="17"/>
              </w:rPr>
              <w:t>Passed</w:t>
            </w:r>
          </w:p>
        </w:tc>
        <w:tc>
          <w:tcPr>
            <w:tcW w:type="dxa" w:w="5360"/>
            <w:tcMar>
              <w:top w:w="80" w:type="dxa"/>
              <w:start w:w="120" w:type="dxa"/>
              <w:bottom w:w="80" w:type="dxa"/>
              <w:end w:w="120" w:type="dxa"/>
            </w:tcMar>
            <w:vAlign w:val="top"/>
          </w:tcPr>
          <w:p>
            <w:pPr>
              <w:spacing w:after="0" w:line="264" w:lineRule="auto"/>
            </w:pPr>
            <w:r>
              <w:rPr>
                <w:sz w:val="17"/>
              </w:rPr>
              <w:t>Runs, failures, resolutions, incidents, remediation requests, and vectors present.</w:t>
            </w:r>
          </w:p>
        </w:tc>
      </w:tr>
      <w:tr>
        <w:trPr>
          <w:cantSplit/>
        </w:trPr>
        <w:tc>
          <w:tcPr>
            <w:tcW w:type="dxa" w:w="2250"/>
            <w:tcMar>
              <w:top w:w="80" w:type="dxa"/>
              <w:start w:w="120" w:type="dxa"/>
              <w:bottom w:w="80" w:type="dxa"/>
              <w:end w:w="120" w:type="dxa"/>
            </w:tcMar>
            <w:vAlign w:val="top"/>
            <w:shd w:fill="FAFBFC"/>
          </w:tcPr>
          <w:p>
            <w:pPr>
              <w:spacing w:after="0" w:line="264" w:lineRule="auto"/>
            </w:pPr>
            <w:r>
              <w:rPr>
                <w:sz w:val="17"/>
              </w:rPr>
              <w:t>Email</w:t>
            </w:r>
          </w:p>
        </w:tc>
        <w:tc>
          <w:tcPr>
            <w:tcW w:type="dxa" w:w="1750"/>
            <w:tcMar>
              <w:top w:w="80" w:type="dxa"/>
              <w:start w:w="120" w:type="dxa"/>
              <w:bottom w:w="80" w:type="dxa"/>
              <w:end w:w="120" w:type="dxa"/>
            </w:tcMar>
            <w:vAlign w:val="top"/>
            <w:shd w:fill="FAFBFC"/>
          </w:tcPr>
          <w:p>
            <w:pPr>
              <w:spacing w:after="0" w:line="264" w:lineRule="auto"/>
            </w:pPr>
            <w:r>
              <w:rPr>
                <w:sz w:val="17"/>
              </w:rPr>
              <w:t>Passed</w:t>
            </w:r>
          </w:p>
        </w:tc>
        <w:tc>
          <w:tcPr>
            <w:tcW w:type="dxa" w:w="5360"/>
            <w:tcMar>
              <w:top w:w="80" w:type="dxa"/>
              <w:start w:w="120" w:type="dxa"/>
              <w:bottom w:w="80" w:type="dxa"/>
              <w:end w:w="120" w:type="dxa"/>
            </w:tcMar>
            <w:vAlign w:val="top"/>
            <w:shd w:fill="FAFBFC"/>
          </w:tcPr>
          <w:p>
            <w:pPr>
              <w:spacing w:after="0" w:line="264" w:lineRule="auto"/>
            </w:pPr>
            <w:r>
              <w:rPr>
                <w:sz w:val="17"/>
              </w:rPr>
              <w:t>SMTP test and real report delivery succeeded.</w:t>
            </w:r>
          </w:p>
        </w:tc>
      </w:tr>
      <w:tr>
        <w:trPr>
          <w:cantSplit/>
        </w:trPr>
        <w:tc>
          <w:tcPr>
            <w:tcW w:type="dxa" w:w="2250"/>
            <w:tcMar>
              <w:top w:w="80" w:type="dxa"/>
              <w:start w:w="120" w:type="dxa"/>
              <w:bottom w:w="80" w:type="dxa"/>
              <w:end w:w="120" w:type="dxa"/>
            </w:tcMar>
            <w:vAlign w:val="top"/>
          </w:tcPr>
          <w:p>
            <w:pPr>
              <w:spacing w:after="0" w:line="264" w:lineRule="auto"/>
            </w:pPr>
            <w:r>
              <w:rPr>
                <w:sz w:val="17"/>
              </w:rPr>
              <w:t>Calendar/Meet</w:t>
            </w:r>
          </w:p>
        </w:tc>
        <w:tc>
          <w:tcPr>
            <w:tcW w:type="dxa" w:w="1750"/>
            <w:tcMar>
              <w:top w:w="80" w:type="dxa"/>
              <w:start w:w="120" w:type="dxa"/>
              <w:bottom w:w="80" w:type="dxa"/>
              <w:end w:w="120" w:type="dxa"/>
            </w:tcMar>
            <w:vAlign w:val="top"/>
          </w:tcPr>
          <w:p>
            <w:pPr>
              <w:spacing w:after="0" w:line="264" w:lineRule="auto"/>
            </w:pPr>
            <w:r>
              <w:rPr>
                <w:sz w:val="17"/>
              </w:rPr>
              <w:t>Passed</w:t>
            </w:r>
          </w:p>
        </w:tc>
        <w:tc>
          <w:tcPr>
            <w:tcW w:type="dxa" w:w="5360"/>
            <w:tcMar>
              <w:top w:w="80" w:type="dxa"/>
              <w:start w:w="120" w:type="dxa"/>
              <w:bottom w:w="80" w:type="dxa"/>
              <w:end w:w="120" w:type="dxa"/>
            </w:tcMar>
            <w:vAlign w:val="top"/>
          </w:tcPr>
          <w:p>
            <w:pPr>
              <w:spacing w:after="0" w:line="264" w:lineRule="auto"/>
            </w:pPr>
            <w:r>
              <w:rPr>
                <w:sz w:val="17"/>
              </w:rPr>
              <w:t>Created/read event; verified summary, description, attendees, and Meet link.</w:t>
            </w:r>
          </w:p>
        </w:tc>
      </w:tr>
      <w:tr>
        <w:trPr>
          <w:cantSplit/>
        </w:trPr>
        <w:tc>
          <w:tcPr>
            <w:tcW w:type="dxa" w:w="2250"/>
            <w:tcMar>
              <w:top w:w="80" w:type="dxa"/>
              <w:start w:w="120" w:type="dxa"/>
              <w:bottom w:w="80" w:type="dxa"/>
              <w:end w:w="120" w:type="dxa"/>
            </w:tcMar>
            <w:vAlign w:val="top"/>
            <w:shd w:fill="FAFBFC"/>
          </w:tcPr>
          <w:p>
            <w:pPr>
              <w:spacing w:after="0" w:line="264" w:lineRule="auto"/>
            </w:pPr>
            <w:r>
              <w:rPr>
                <w:sz w:val="17"/>
              </w:rPr>
              <w:t>HITL dry-run</w:t>
            </w:r>
          </w:p>
        </w:tc>
        <w:tc>
          <w:tcPr>
            <w:tcW w:type="dxa" w:w="1750"/>
            <w:tcMar>
              <w:top w:w="80" w:type="dxa"/>
              <w:start w:w="120" w:type="dxa"/>
              <w:bottom w:w="80" w:type="dxa"/>
              <w:end w:w="120" w:type="dxa"/>
            </w:tcMar>
            <w:vAlign w:val="top"/>
            <w:shd w:fill="FAFBFC"/>
          </w:tcPr>
          <w:p>
            <w:pPr>
              <w:spacing w:after="0" w:line="264" w:lineRule="auto"/>
            </w:pPr>
            <w:r>
              <w:rPr>
                <w:sz w:val="17"/>
              </w:rPr>
              <w:t>Passed</w:t>
            </w:r>
          </w:p>
        </w:tc>
        <w:tc>
          <w:tcPr>
            <w:tcW w:type="dxa" w:w="5360"/>
            <w:tcMar>
              <w:top w:w="80" w:type="dxa"/>
              <w:start w:w="120" w:type="dxa"/>
              <w:bottom w:w="80" w:type="dxa"/>
              <w:end w:w="120" w:type="dxa"/>
            </w:tcMar>
            <w:vAlign w:val="top"/>
            <w:shd w:fill="FAFBFC"/>
          </w:tcPr>
          <w:p>
            <w:pPr>
              <w:spacing w:after="0" w:line="264" w:lineRule="auto"/>
            </w:pPr>
            <w:r>
              <w:rPr>
                <w:sz w:val="17"/>
              </w:rPr>
              <w:t>Prior approvals reached DRY_RUN_SUCCEEDED without cluster mutation.</w:t>
            </w:r>
          </w:p>
        </w:tc>
      </w:tr>
      <w:tr>
        <w:trPr>
          <w:cantSplit/>
        </w:trPr>
        <w:tc>
          <w:tcPr>
            <w:tcW w:type="dxa" w:w="2250"/>
            <w:tcMar>
              <w:top w:w="80" w:type="dxa"/>
              <w:start w:w="120" w:type="dxa"/>
              <w:bottom w:w="80" w:type="dxa"/>
              <w:end w:w="120" w:type="dxa"/>
            </w:tcMar>
            <w:vAlign w:val="top"/>
          </w:tcPr>
          <w:p>
            <w:pPr>
              <w:spacing w:after="0" w:line="264" w:lineRule="auto"/>
            </w:pPr>
            <w:r>
              <w:rPr>
                <w:sz w:val="17"/>
              </w:rPr>
              <w:t>HITL live execution</w:t>
            </w:r>
          </w:p>
        </w:tc>
        <w:tc>
          <w:tcPr>
            <w:tcW w:type="dxa" w:w="1750"/>
            <w:tcMar>
              <w:top w:w="80" w:type="dxa"/>
              <w:start w:w="120" w:type="dxa"/>
              <w:bottom w:w="80" w:type="dxa"/>
              <w:end w:w="120" w:type="dxa"/>
            </w:tcMar>
            <w:vAlign w:val="top"/>
          </w:tcPr>
          <w:p>
            <w:pPr>
              <w:spacing w:after="0" w:line="264" w:lineRule="auto"/>
            </w:pPr>
            <w:r>
              <w:rPr>
                <w:sz w:val="17"/>
              </w:rPr>
              <w:t>Intentionally disabled</w:t>
            </w:r>
          </w:p>
        </w:tc>
        <w:tc>
          <w:tcPr>
            <w:tcW w:type="dxa" w:w="5360"/>
            <w:tcMar>
              <w:top w:w="80" w:type="dxa"/>
              <w:start w:w="120" w:type="dxa"/>
              <w:bottom w:w="80" w:type="dxa"/>
              <w:end w:w="120" w:type="dxa"/>
            </w:tcMar>
            <w:vAlign w:val="top"/>
          </w:tcPr>
          <w:p>
            <w:pPr>
              <w:spacing w:after="0" w:line="264" w:lineRule="auto"/>
            </w:pPr>
            <w:r>
              <w:rPr>
                <w:sz w:val="17"/>
              </w:rPr>
              <w:t>Requires production authorization, secret, RBAC, and change window.</w:t>
            </w:r>
          </w:p>
        </w:tc>
      </w:tr>
    </w:tbl>
    <w:p>
      <w:pPr>
        <w:spacing w:after="0"/>
      </w:pPr>
    </w:p>
    <w:p>
      <w:pPr>
        <w:pStyle w:val="Heading2"/>
      </w:pPr>
      <w:r>
        <w:t>Acceptance checklist before production</w:t>
      </w:r>
    </w:p>
    <w:p>
      <w:pPr>
        <w:numPr>
          <w:ilvl w:val="0"/>
          <w:numId w:val="10"/>
        </w:numPr>
        <w:spacing w:after="80" w:line="300" w:lineRule="auto"/>
      </w:pPr>
      <w:r>
        <w:t>☐ All automated tests, including pytest remediation safety tests, run in CI and pass.</w:t>
      </w:r>
    </w:p>
    <w:p>
      <w:pPr>
        <w:numPr>
          <w:ilvl w:val="0"/>
          <w:numId w:val="10"/>
        </w:numPr>
        <w:spacing w:after="80" w:line="300" w:lineRule="auto"/>
      </w:pPr>
      <w:r>
        <w:t>☐ Production image is vulnerability-scanned, signed, and referenced by digest or immutable tag.</w:t>
      </w:r>
    </w:p>
    <w:p>
      <w:pPr>
        <w:numPr>
          <w:ilvl w:val="0"/>
          <w:numId w:val="10"/>
        </w:numPr>
        <w:spacing w:after="80" w:line="300" w:lineRule="auto"/>
      </w:pPr>
      <w:r>
        <w:t>☐ Managed PostgreSQL with pgvector, TLS, backup, restore test, capacity, and retention is available.</w:t>
      </w:r>
    </w:p>
    <w:p>
      <w:pPr>
        <w:numPr>
          <w:ilvl w:val="0"/>
          <w:numId w:val="10"/>
        </w:numPr>
        <w:spacing w:after="80" w:line="300" w:lineRule="auto"/>
      </w:pPr>
      <w:r>
        <w:t>☐ Secret manager values are created and no placeholder remains in rendered YAML.</w:t>
      </w:r>
    </w:p>
    <w:p>
      <w:pPr>
        <w:numPr>
          <w:ilvl w:val="0"/>
          <w:numId w:val="10"/>
        </w:numPr>
        <w:spacing w:after="80" w:line="300" w:lineRule="auto"/>
      </w:pPr>
      <w:r>
        <w:t>☐ Read RBAC is least privilege; mutation RBAC remains absent unless live HITL is approved.</w:t>
      </w:r>
    </w:p>
    <w:p>
      <w:pPr>
        <w:numPr>
          <w:ilvl w:val="0"/>
          <w:numId w:val="10"/>
        </w:numPr>
        <w:spacing w:after="80" w:line="300" w:lineRule="auto"/>
      </w:pPr>
      <w:r>
        <w:t>☐ Route uses a trusted hostname, TLS, and authentication; approver access tested outside the developer machine.</w:t>
      </w:r>
    </w:p>
    <w:p>
      <w:pPr>
        <w:numPr>
          <w:ilvl w:val="0"/>
          <w:numId w:val="10"/>
        </w:numPr>
        <w:spacing w:after="80" w:line="300" w:lineRule="auto"/>
      </w:pPr>
      <w:r>
        <w:t>☐ Email sender/recipients and Calendar owners/scopes are production-approved.</w:t>
      </w:r>
    </w:p>
    <w:p>
      <w:pPr>
        <w:numPr>
          <w:ilvl w:val="0"/>
          <w:numId w:val="10"/>
        </w:numPr>
        <w:spacing w:after="80" w:line="300" w:lineRule="auto"/>
      </w:pPr>
      <w:r>
        <w:t>☐ One healthy-cycle, one simulated failure, one email, one Calendar escalation, one rejection, and one HITL dry-run are demonstrated in staging.</w:t>
      </w:r>
    </w:p>
    <w:p>
      <w:pPr>
        <w:numPr>
          <w:ilvl w:val="0"/>
          <w:numId w:val="10"/>
        </w:numPr>
        <w:spacing w:after="80" w:line="300" w:lineRule="auto"/>
      </w:pPr>
      <w:r>
        <w:t>☐ Live restart is tested only in a non-production namespace with rollback and monitoring, then approved through change management.</w:t>
      </w:r>
    </w:p>
    <w:p>
      <w:pPr>
        <w:numPr>
          <w:ilvl w:val="0"/>
          <w:numId w:val="10"/>
        </w:numPr>
        <w:spacing w:after="80" w:line="300" w:lineRule="auto"/>
      </w:pPr>
      <w:r>
        <w:t>☐ Dashboards, logs, alerts, audit retention, and on-call ownership are documented.</w:t>
      </w:r>
    </w:p>
    <w:p>
      <w:pPr>
        <w:pStyle w:val="Heading1"/>
      </w:pPr>
      <w:r>
        <w:t>18. Operations runbook</w:t>
      </w:r>
    </w:p>
    <w:p>
      <w:pPr>
        <w:pStyle w:val="Heading2"/>
      </w:pPr>
      <w:r>
        <w:t>Daily health check</w:t>
      </w:r>
    </w:p>
    <w:p>
      <w:pPr>
        <w:numPr>
          <w:ilvl w:val="0"/>
          <w:numId w:val="17"/>
        </w:numPr>
        <w:spacing w:after="80" w:line="300" w:lineRule="auto"/>
      </w:pPr>
      <w:r>
        <w:t>Confirm Compose pods or OpenShift Deployments are Ready and health probes pass.</w:t>
      </w:r>
    </w:p>
    <w:p>
      <w:pPr>
        <w:numPr>
          <w:ilvl w:val="0"/>
          <w:numId w:val="17"/>
        </w:numPr>
        <w:spacing w:after="80" w:line="300" w:lineRule="auto"/>
      </w:pPr>
      <w:r>
        <w:t>Open the dashboard and confirm a recent completed run, expected interval, and reasonable failure count.</w:t>
      </w:r>
    </w:p>
    <w:p>
      <w:pPr>
        <w:numPr>
          <w:ilvl w:val="0"/>
          <w:numId w:val="17"/>
        </w:numPr>
        <w:spacing w:after="80" w:line="300" w:lineRule="auto"/>
      </w:pPr>
      <w:r>
        <w:t>Review collection_errors before trusting a healthy summary.</w:t>
      </w:r>
    </w:p>
    <w:p>
      <w:pPr>
        <w:numPr>
          <w:ilvl w:val="0"/>
          <w:numId w:val="17"/>
        </w:numPr>
        <w:spacing w:after="80" w:line="300" w:lineRule="auto"/>
      </w:pPr>
      <w:r>
        <w:t>Check scheduler logs for cycle completion, email result, escalation decision, and heartbeat updates.</w:t>
      </w:r>
    </w:p>
    <w:p>
      <w:pPr>
        <w:numPr>
          <w:ilvl w:val="0"/>
          <w:numId w:val="17"/>
        </w:numPr>
        <w:spacing w:after="80" w:line="300" w:lineRule="auto"/>
      </w:pPr>
      <w:r>
        <w:t>Review pending remediation approvals and investigate aged requests; never approve without reading target, action, mode, and reason.</w:t>
      </w:r>
    </w:p>
    <w:p>
      <w:r>
        <w:br w:type="page"/>
      </w:r>
    </w:p>
    <w:p>
      <w:pPr>
        <w:pStyle w:val="Heading2"/>
      </w:pPr>
      <w:r>
        <w:t>Troubleshooting guide</w:t>
      </w:r>
    </w:p>
    <w:tbl>
      <w:tblPr>
        <w:tblW w:type="dxa" w:w="9360"/>
        <w:jc w:val="center"/>
        <w:tblLayout w:type="fixed"/>
        <w:tblLook w:firstColumn="1" w:firstRow="1" w:lastColumn="0" w:lastRow="0" w:noHBand="0" w:noVBand="1" w:val="04A0"/>
        <w:tblInd w:w="120" w:type="dxa"/>
        <w:tblLayout w:type="fixed"/>
      </w:tblPr>
      <w:tblGrid>
        <w:gridCol w:w="2700"/>
        <w:gridCol w:w="3150"/>
        <w:gridCol w:w="3510"/>
      </w:tblGrid>
      <w:tr>
        <w:trPr>
          <w:tblHeader w:val="true"/>
          <w:cantSplit/>
        </w:trPr>
        <w:tc>
          <w:tcPr>
            <w:tcW w:type="dxa" w:w="2700"/>
            <w:tcMar>
              <w:top w:w="80" w:type="dxa"/>
              <w:start w:w="120" w:type="dxa"/>
              <w:bottom w:w="80" w:type="dxa"/>
              <w:end w:w="120" w:type="dxa"/>
            </w:tcMar>
            <w:shd w:fill="E8EEF5"/>
            <w:vAlign w:val="center"/>
          </w:tcPr>
          <w:p>
            <w:pPr>
              <w:spacing w:after="0"/>
            </w:pPr>
            <w:r>
              <w:rPr>
                <w:b/>
                <w:color w:val="0B2545"/>
                <w:sz w:val="16"/>
              </w:rPr>
              <w:t>Symptom</w:t>
            </w:r>
          </w:p>
        </w:tc>
        <w:tc>
          <w:tcPr>
            <w:tcW w:type="dxa" w:w="3150"/>
            <w:tcMar>
              <w:top w:w="80" w:type="dxa"/>
              <w:start w:w="120" w:type="dxa"/>
              <w:bottom w:w="80" w:type="dxa"/>
              <w:end w:w="120" w:type="dxa"/>
            </w:tcMar>
            <w:shd w:fill="E8EEF5"/>
            <w:vAlign w:val="center"/>
          </w:tcPr>
          <w:p>
            <w:pPr>
              <w:spacing w:after="0"/>
            </w:pPr>
            <w:r>
              <w:rPr>
                <w:b/>
                <w:color w:val="0B2545"/>
                <w:sz w:val="16"/>
              </w:rPr>
              <w:t>Likely cause</w:t>
            </w:r>
          </w:p>
        </w:tc>
        <w:tc>
          <w:tcPr>
            <w:tcW w:type="dxa" w:w="3510"/>
            <w:tcMar>
              <w:top w:w="80" w:type="dxa"/>
              <w:start w:w="120" w:type="dxa"/>
              <w:bottom w:w="80" w:type="dxa"/>
              <w:end w:w="120" w:type="dxa"/>
            </w:tcMar>
            <w:shd w:fill="E8EEF5"/>
            <w:vAlign w:val="center"/>
          </w:tcPr>
          <w:p>
            <w:pPr>
              <w:spacing w:after="0"/>
            </w:pPr>
            <w:r>
              <w:rPr>
                <w:b/>
                <w:color w:val="0B2545"/>
                <w:sz w:val="16"/>
              </w:rPr>
              <w:t>Check / action</w:t>
            </w:r>
          </w:p>
        </w:tc>
      </w:tr>
      <w:tr>
        <w:trPr>
          <w:cantSplit/>
        </w:trPr>
        <w:tc>
          <w:tcPr>
            <w:tcW w:type="dxa" w:w="2700"/>
            <w:tcMar>
              <w:top w:w="80" w:type="dxa"/>
              <w:start w:w="120" w:type="dxa"/>
              <w:bottom w:w="80" w:type="dxa"/>
              <w:end w:w="120" w:type="dxa"/>
            </w:tcMar>
            <w:vAlign w:val="top"/>
          </w:tcPr>
          <w:p>
            <w:pPr>
              <w:spacing w:after="0" w:line="264" w:lineRule="auto"/>
            </w:pPr>
            <w:r>
              <w:rPr>
                <w:sz w:val="16"/>
              </w:rPr>
              <w:t>Dashboard link opens nothing for recipient</w:t>
            </w:r>
          </w:p>
        </w:tc>
        <w:tc>
          <w:tcPr>
            <w:tcW w:type="dxa" w:w="3150"/>
            <w:tcMar>
              <w:top w:w="80" w:type="dxa"/>
              <w:start w:w="120" w:type="dxa"/>
              <w:bottom w:w="80" w:type="dxa"/>
              <w:end w:w="120" w:type="dxa"/>
            </w:tcMar>
            <w:vAlign w:val="top"/>
          </w:tcPr>
          <w:p>
            <w:pPr>
              <w:spacing w:after="0" w:line="264" w:lineRule="auto"/>
            </w:pPr>
            <w:r>
              <w:rPr>
                <w:sz w:val="16"/>
              </w:rPr>
              <w:t>Link uses localhost/private address without a shared route</w:t>
            </w:r>
          </w:p>
        </w:tc>
        <w:tc>
          <w:tcPr>
            <w:tcW w:type="dxa" w:w="3510"/>
            <w:tcMar>
              <w:top w:w="80" w:type="dxa"/>
              <w:start w:w="120" w:type="dxa"/>
              <w:bottom w:w="80" w:type="dxa"/>
              <w:end w:w="120" w:type="dxa"/>
            </w:tcMar>
            <w:vAlign w:val="top"/>
          </w:tcPr>
          <w:p>
            <w:pPr>
              <w:spacing w:after="0" w:line="264" w:lineRule="auto"/>
            </w:pPr>
            <w:r>
              <w:rPr>
                <w:sz w:val="16"/>
              </w:rPr>
              <w:t>Use LAN/VPN routing for development or the production HTTPS Route.</w:t>
            </w:r>
          </w:p>
        </w:tc>
      </w:tr>
      <w:tr>
        <w:trPr>
          <w:cantSplit/>
        </w:trPr>
        <w:tc>
          <w:tcPr>
            <w:tcW w:type="dxa" w:w="2700"/>
            <w:tcMar>
              <w:top w:w="80" w:type="dxa"/>
              <w:start w:w="120" w:type="dxa"/>
              <w:bottom w:w="80" w:type="dxa"/>
              <w:end w:w="120" w:type="dxa"/>
            </w:tcMar>
            <w:vAlign w:val="top"/>
            <w:shd w:fill="FAFBFC"/>
          </w:tcPr>
          <w:p>
            <w:pPr>
              <w:spacing w:after="0" w:line="264" w:lineRule="auto"/>
            </w:pPr>
            <w:r>
              <w:rPr>
                <w:sz w:val="16"/>
              </w:rPr>
              <w:t>Email not authorized</w:t>
            </w:r>
          </w:p>
        </w:tc>
        <w:tc>
          <w:tcPr>
            <w:tcW w:type="dxa" w:w="3150"/>
            <w:tcMar>
              <w:top w:w="80" w:type="dxa"/>
              <w:start w:w="120" w:type="dxa"/>
              <w:bottom w:w="80" w:type="dxa"/>
              <w:end w:w="120" w:type="dxa"/>
            </w:tcMar>
            <w:vAlign w:val="top"/>
            <w:shd w:fill="FAFBFC"/>
          </w:tcPr>
          <w:p>
            <w:pPr>
              <w:spacing w:after="0" w:line="264" w:lineRule="auto"/>
            </w:pPr>
            <w:r>
              <w:rPr>
                <w:sz w:val="16"/>
              </w:rPr>
              <w:t>Input is empty or differs from configured approver</w:t>
            </w:r>
          </w:p>
        </w:tc>
        <w:tc>
          <w:tcPr>
            <w:tcW w:type="dxa" w:w="3510"/>
            <w:tcMar>
              <w:top w:w="80" w:type="dxa"/>
              <w:start w:w="120" w:type="dxa"/>
              <w:bottom w:w="80" w:type="dxa"/>
              <w:end w:w="120" w:type="dxa"/>
            </w:tcMar>
            <w:vAlign w:val="top"/>
            <w:shd w:fill="FAFBFC"/>
          </w:tcPr>
          <w:p>
            <w:pPr>
              <w:spacing w:after="0" w:line="264" w:lineRule="auto"/>
            </w:pPr>
            <w:r>
              <w:rPr>
                <w:sz w:val="16"/>
              </w:rPr>
              <w:t>Type the exact trimmed email; placeholder text is not a submitted value.</w:t>
            </w:r>
          </w:p>
        </w:tc>
      </w:tr>
      <w:tr>
        <w:trPr>
          <w:cantSplit/>
        </w:trPr>
        <w:tc>
          <w:tcPr>
            <w:tcW w:type="dxa" w:w="2700"/>
            <w:tcMar>
              <w:top w:w="80" w:type="dxa"/>
              <w:start w:w="120" w:type="dxa"/>
              <w:bottom w:w="80" w:type="dxa"/>
              <w:end w:w="120" w:type="dxa"/>
            </w:tcMar>
            <w:vAlign w:val="top"/>
          </w:tcPr>
          <w:p>
            <w:pPr>
              <w:spacing w:after="0" w:line="264" w:lineRule="auto"/>
            </w:pPr>
            <w:r>
              <w:rPr>
                <w:sz w:val="16"/>
              </w:rPr>
              <w:t>Critical status but no meeting</w:t>
            </w:r>
          </w:p>
        </w:tc>
        <w:tc>
          <w:tcPr>
            <w:tcW w:type="dxa" w:w="3150"/>
            <w:tcMar>
              <w:top w:w="80" w:type="dxa"/>
              <w:start w:w="120" w:type="dxa"/>
              <w:bottom w:w="80" w:type="dxa"/>
              <w:end w:w="120" w:type="dxa"/>
            </w:tcMar>
            <w:vAlign w:val="top"/>
          </w:tcPr>
          <w:p>
            <w:pPr>
              <w:spacing w:after="0" w:line="264" w:lineRule="auto"/>
            </w:pPr>
            <w:r>
              <w:rPr>
                <w:sz w:val="16"/>
              </w:rPr>
              <w:t>Failure not individually CRITICAL, outside scope, below persistence threshold, or already escalated</w:t>
            </w:r>
          </w:p>
        </w:tc>
        <w:tc>
          <w:tcPr>
            <w:tcW w:type="dxa" w:w="3510"/>
            <w:tcMar>
              <w:top w:w="80" w:type="dxa"/>
              <w:start w:w="120" w:type="dxa"/>
              <w:bottom w:w="80" w:type="dxa"/>
              <w:end w:w="120" w:type="dxa"/>
            </w:tcMar>
            <w:vAlign w:val="top"/>
          </w:tcPr>
          <w:p>
            <w:pPr>
              <w:spacing w:after="0" w:line="264" w:lineRule="auto"/>
            </w:pPr>
            <w:r>
              <w:rPr>
                <w:sz w:val="16"/>
              </w:rPr>
              <w:t>Inspect structured failures and escalation decision logs.</w:t>
            </w:r>
          </w:p>
        </w:tc>
      </w:tr>
      <w:tr>
        <w:trPr>
          <w:cantSplit/>
        </w:trPr>
        <w:tc>
          <w:tcPr>
            <w:tcW w:type="dxa" w:w="2700"/>
            <w:tcMar>
              <w:top w:w="80" w:type="dxa"/>
              <w:start w:w="120" w:type="dxa"/>
              <w:bottom w:w="80" w:type="dxa"/>
              <w:end w:w="120" w:type="dxa"/>
            </w:tcMar>
            <w:vAlign w:val="top"/>
            <w:shd w:fill="FAFBFC"/>
          </w:tcPr>
          <w:p>
            <w:pPr>
              <w:spacing w:after="0" w:line="264" w:lineRule="auto"/>
            </w:pPr>
            <w:r>
              <w:rPr>
                <w:sz w:val="16"/>
              </w:rPr>
              <w:t>Collector error</w:t>
            </w:r>
          </w:p>
        </w:tc>
        <w:tc>
          <w:tcPr>
            <w:tcW w:type="dxa" w:w="3150"/>
            <w:tcMar>
              <w:top w:w="80" w:type="dxa"/>
              <w:start w:w="120" w:type="dxa"/>
              <w:bottom w:w="80" w:type="dxa"/>
              <w:end w:w="120" w:type="dxa"/>
            </w:tcMar>
            <w:vAlign w:val="top"/>
            <w:shd w:fill="FAFBFC"/>
          </w:tcPr>
          <w:p>
            <w:pPr>
              <w:spacing w:after="0" w:line="264" w:lineRule="auto"/>
            </w:pPr>
            <w:r>
              <w:rPr>
                <w:sz w:val="16"/>
              </w:rPr>
              <w:t>Kubeconfig/API DNS/TLS/RBAC problem</w:t>
            </w:r>
          </w:p>
        </w:tc>
        <w:tc>
          <w:tcPr>
            <w:tcW w:type="dxa" w:w="3510"/>
            <w:tcMar>
              <w:top w:w="80" w:type="dxa"/>
              <w:start w:w="120" w:type="dxa"/>
              <w:bottom w:w="80" w:type="dxa"/>
              <w:end w:w="120" w:type="dxa"/>
            </w:tcMar>
            <w:vAlign w:val="top"/>
            <w:shd w:fill="FAFBFC"/>
          </w:tcPr>
          <w:p>
            <w:pPr>
              <w:spacing w:after="0" w:line="264" w:lineRule="auto"/>
            </w:pPr>
            <w:r>
              <w:rPr>
                <w:sz w:val="16"/>
              </w:rPr>
              <w:t>Test API resolution/credentials and review collection_errors.</w:t>
            </w:r>
          </w:p>
        </w:tc>
      </w:tr>
      <w:tr>
        <w:trPr>
          <w:cantSplit/>
        </w:trPr>
        <w:tc>
          <w:tcPr>
            <w:tcW w:type="dxa" w:w="2700"/>
            <w:tcMar>
              <w:top w:w="80" w:type="dxa"/>
              <w:start w:w="120" w:type="dxa"/>
              <w:bottom w:w="80" w:type="dxa"/>
              <w:end w:w="120" w:type="dxa"/>
            </w:tcMar>
            <w:vAlign w:val="top"/>
          </w:tcPr>
          <w:p>
            <w:pPr>
              <w:spacing w:after="0" w:line="264" w:lineRule="auto"/>
            </w:pPr>
            <w:r>
              <w:rPr>
                <w:sz w:val="16"/>
              </w:rPr>
              <w:t>No vector matches</w:t>
            </w:r>
          </w:p>
        </w:tc>
        <w:tc>
          <w:tcPr>
            <w:tcW w:type="dxa" w:w="3150"/>
            <w:tcMar>
              <w:top w:w="80" w:type="dxa"/>
              <w:start w:w="120" w:type="dxa"/>
              <w:bottom w:w="80" w:type="dxa"/>
              <w:end w:w="120" w:type="dxa"/>
            </w:tcMar>
            <w:vAlign w:val="top"/>
          </w:tcPr>
          <w:p>
            <w:pPr>
              <w:spacing w:after="0" w:line="264" w:lineRule="auto"/>
            </w:pPr>
            <w:r>
              <w:rPr>
                <w:sz w:val="16"/>
              </w:rPr>
              <w:t>Index empty, pgvector unavailable, or similarity below 0.85</w:t>
            </w:r>
          </w:p>
        </w:tc>
        <w:tc>
          <w:tcPr>
            <w:tcW w:type="dxa" w:w="3510"/>
            <w:tcMar>
              <w:top w:w="80" w:type="dxa"/>
              <w:start w:w="120" w:type="dxa"/>
              <w:bottom w:w="80" w:type="dxa"/>
              <w:end w:w="120" w:type="dxa"/>
            </w:tcMar>
            <w:vAlign w:val="top"/>
          </w:tcPr>
          <w:p>
            <w:pPr>
              <w:spacing w:after="0" w:line="264" w:lineRule="auto"/>
            </w:pPr>
            <w:r>
              <w:rPr>
                <w:sz w:val="16"/>
              </w:rPr>
              <w:t>Verify extension/table/indexing and inspect incident indexed state.</w:t>
            </w:r>
          </w:p>
        </w:tc>
      </w:tr>
      <w:tr>
        <w:trPr>
          <w:cantSplit/>
        </w:trPr>
        <w:tc>
          <w:tcPr>
            <w:tcW w:type="dxa" w:w="2700"/>
            <w:tcMar>
              <w:top w:w="80" w:type="dxa"/>
              <w:start w:w="120" w:type="dxa"/>
              <w:bottom w:w="80" w:type="dxa"/>
              <w:end w:w="120" w:type="dxa"/>
            </w:tcMar>
            <w:vAlign w:val="top"/>
            <w:shd w:fill="FAFBFC"/>
          </w:tcPr>
          <w:p>
            <w:pPr>
              <w:spacing w:after="0" w:line="264" w:lineRule="auto"/>
            </w:pPr>
            <w:r>
              <w:rPr>
                <w:sz w:val="16"/>
              </w:rPr>
              <w:t>Approval never executes</w:t>
            </w:r>
          </w:p>
        </w:tc>
        <w:tc>
          <w:tcPr>
            <w:tcW w:type="dxa" w:w="3150"/>
            <w:tcMar>
              <w:top w:w="80" w:type="dxa"/>
              <w:start w:w="120" w:type="dxa"/>
              <w:bottom w:w="80" w:type="dxa"/>
              <w:end w:w="120" w:type="dxa"/>
            </w:tcMar>
            <w:vAlign w:val="top"/>
            <w:shd w:fill="FAFBFC"/>
          </w:tcPr>
          <w:p>
            <w:pPr>
              <w:spacing w:after="0" w:line="264" w:lineRule="auto"/>
            </w:pPr>
            <w:r>
              <w:rPr>
                <w:sz w:val="16"/>
              </w:rPr>
              <w:t>Dry-run mode, live flag false, no secret/RBAC, or scheduler poller unhealthy</w:t>
            </w:r>
          </w:p>
        </w:tc>
        <w:tc>
          <w:tcPr>
            <w:tcW w:type="dxa" w:w="3510"/>
            <w:tcMar>
              <w:top w:w="80" w:type="dxa"/>
              <w:start w:w="120" w:type="dxa"/>
              <w:bottom w:w="80" w:type="dxa"/>
              <w:end w:w="120" w:type="dxa"/>
            </w:tcMar>
            <w:vAlign w:val="top"/>
            <w:shd w:fill="FAFBFC"/>
          </w:tcPr>
          <w:p>
            <w:pPr>
              <w:spacing w:after="0" w:line="264" w:lineRule="auto"/>
            </w:pPr>
            <w:r>
              <w:rPr>
                <w:sz w:val="16"/>
              </w:rPr>
              <w:t>Review request execution_mode/status and scheduler logs.</w:t>
            </w:r>
          </w:p>
        </w:tc>
      </w:tr>
      <w:tr>
        <w:trPr>
          <w:cantSplit/>
        </w:trPr>
        <w:tc>
          <w:tcPr>
            <w:tcW w:type="dxa" w:w="2700"/>
            <w:tcMar>
              <w:top w:w="80" w:type="dxa"/>
              <w:start w:w="120" w:type="dxa"/>
              <w:bottom w:w="80" w:type="dxa"/>
              <w:end w:w="120" w:type="dxa"/>
            </w:tcMar>
            <w:vAlign w:val="top"/>
          </w:tcPr>
          <w:p>
            <w:pPr>
              <w:spacing w:after="0" w:line="264" w:lineRule="auto"/>
            </w:pPr>
            <w:r>
              <w:rPr>
                <w:sz w:val="16"/>
              </w:rPr>
              <w:t>Port 8502 conflict</w:t>
            </w:r>
          </w:p>
        </w:tc>
        <w:tc>
          <w:tcPr>
            <w:tcW w:type="dxa" w:w="3150"/>
            <w:tcMar>
              <w:top w:w="80" w:type="dxa"/>
              <w:start w:w="120" w:type="dxa"/>
              <w:bottom w:w="80" w:type="dxa"/>
              <w:end w:w="120" w:type="dxa"/>
            </w:tcMar>
            <w:vAlign w:val="top"/>
          </w:tcPr>
          <w:p>
            <w:pPr>
              <w:spacing w:after="0" w:line="264" w:lineRule="auto"/>
            </w:pPr>
            <w:r>
              <w:rPr>
                <w:sz w:val="16"/>
              </w:rPr>
              <w:t>Another container/process binds the host port</w:t>
            </w:r>
          </w:p>
        </w:tc>
        <w:tc>
          <w:tcPr>
            <w:tcW w:type="dxa" w:w="3510"/>
            <w:tcMar>
              <w:top w:w="80" w:type="dxa"/>
              <w:start w:w="120" w:type="dxa"/>
              <w:bottom w:w="80" w:type="dxa"/>
              <w:end w:w="120" w:type="dxa"/>
            </w:tcMar>
            <w:vAlign w:val="top"/>
          </w:tcPr>
          <w:p>
            <w:pPr>
              <w:spacing w:after="0" w:line="264" w:lineRule="auto"/>
            </w:pPr>
            <w:r>
              <w:rPr>
                <w:sz w:val="16"/>
              </w:rPr>
              <w:t>Identify and stop/reconfigure the conflicting service; keep one host binding.</w:t>
            </w:r>
          </w:p>
        </w:tc>
      </w:tr>
      <w:tr>
        <w:trPr>
          <w:cantSplit/>
        </w:trPr>
        <w:tc>
          <w:tcPr>
            <w:tcW w:type="dxa" w:w="2700"/>
            <w:tcMar>
              <w:top w:w="80" w:type="dxa"/>
              <w:start w:w="120" w:type="dxa"/>
              <w:bottom w:w="80" w:type="dxa"/>
              <w:end w:w="120" w:type="dxa"/>
            </w:tcMar>
            <w:vAlign w:val="top"/>
            <w:shd w:fill="FAFBFC"/>
          </w:tcPr>
          <w:p>
            <w:pPr>
              <w:spacing w:after="0" w:line="264" w:lineRule="auto"/>
            </w:pPr>
            <w:r>
              <w:rPr>
                <w:sz w:val="16"/>
              </w:rPr>
              <w:t>Database unavailable</w:t>
            </w:r>
          </w:p>
        </w:tc>
        <w:tc>
          <w:tcPr>
            <w:tcW w:type="dxa" w:w="3150"/>
            <w:tcMar>
              <w:top w:w="80" w:type="dxa"/>
              <w:start w:w="120" w:type="dxa"/>
              <w:bottom w:w="80" w:type="dxa"/>
              <w:end w:w="120" w:type="dxa"/>
            </w:tcMar>
            <w:vAlign w:val="top"/>
            <w:shd w:fill="FAFBFC"/>
          </w:tcPr>
          <w:p>
            <w:pPr>
              <w:spacing w:after="0" w:line="264" w:lineRule="auto"/>
            </w:pPr>
            <w:r>
              <w:rPr>
                <w:sz w:val="16"/>
              </w:rPr>
              <w:t>Compose/managed DB down or incorrect DATABASE_URL</w:t>
            </w:r>
          </w:p>
        </w:tc>
        <w:tc>
          <w:tcPr>
            <w:tcW w:type="dxa" w:w="3510"/>
            <w:tcMar>
              <w:top w:w="80" w:type="dxa"/>
              <w:start w:w="120" w:type="dxa"/>
              <w:bottom w:w="80" w:type="dxa"/>
              <w:end w:w="120" w:type="dxa"/>
            </w:tcMar>
            <w:vAlign w:val="top"/>
            <w:shd w:fill="FAFBFC"/>
          </w:tcPr>
          <w:p>
            <w:pPr>
              <w:spacing w:after="0" w:line="264" w:lineRule="auto"/>
            </w:pPr>
            <w:r>
              <w:rPr>
                <w:sz w:val="16"/>
              </w:rPr>
              <w:t>Check DB health, DNS, TLS, user/database, and network policy.</w:t>
            </w:r>
          </w:p>
        </w:tc>
      </w:tr>
    </w:tbl>
    <w:p>
      <w:pPr>
        <w:spacing w:after="0"/>
      </w:pPr>
    </w:p>
    <w:p>
      <w:pPr>
        <w:pStyle w:val="Heading1"/>
      </w:pPr>
      <w:r>
        <w:t>19. Known gaps and production readiness</w:t>
      </w: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FF5D6"/>
          </w:tcPr>
          <w:p>
            <w:pPr>
              <w:spacing w:after="60"/>
            </w:pPr>
            <w:r>
              <w:rPr>
                <w:b/>
                <w:color w:val="9A6A00"/>
              </w:rPr>
              <w:t>Readiness status</w:t>
            </w:r>
          </w:p>
          <w:p>
            <w:pPr>
              <w:spacing w:after="0" w:line="276" w:lineRule="auto"/>
            </w:pPr>
            <w:r>
              <w:t>The application is end-to-end functional in the validated local environment. It is not yet production-deployed. The items below are deliberate handoff requirements, not hidden completion claims.</w:t>
            </w:r>
          </w:p>
        </w:tc>
      </w:tr>
    </w:tbl>
    <w:p>
      <w:pPr>
        <w:spacing w:after="0"/>
      </w:pPr>
    </w:p>
    <w:tbl>
      <w:tblPr>
        <w:tblW w:type="dxa" w:w="9360"/>
        <w:jc w:val="center"/>
        <w:tblLayout w:type="fixed"/>
        <w:tblLook w:firstColumn="1" w:firstRow="1" w:lastColumn="0" w:lastRow="0" w:noHBand="0" w:noVBand="1" w:val="04A0"/>
        <w:tblInd w:w="120" w:type="dxa"/>
        <w:tblLayout w:type="fixed"/>
      </w:tblPr>
      <w:tblGrid>
        <w:gridCol w:w="3300"/>
        <w:gridCol w:w="6060"/>
      </w:tblGrid>
      <w:tr>
        <w:trPr>
          <w:tblHeader w:val="true"/>
          <w:cantSplit/>
        </w:trPr>
        <w:tc>
          <w:tcPr>
            <w:tcW w:type="dxa" w:w="3300"/>
            <w:tcMar>
              <w:top w:w="80" w:type="dxa"/>
              <w:start w:w="120" w:type="dxa"/>
              <w:bottom w:w="80" w:type="dxa"/>
              <w:end w:w="120" w:type="dxa"/>
            </w:tcMar>
            <w:shd w:fill="E8EEF5"/>
            <w:vAlign w:val="center"/>
          </w:tcPr>
          <w:p>
            <w:pPr>
              <w:spacing w:after="0"/>
            </w:pPr>
            <w:r>
              <w:rPr>
                <w:b/>
                <w:color w:val="0B2545"/>
                <w:sz w:val="18"/>
              </w:rPr>
              <w:t>Gap / decision</w:t>
            </w:r>
          </w:p>
        </w:tc>
        <w:tc>
          <w:tcPr>
            <w:tcW w:type="dxa" w:w="6060"/>
            <w:tcMar>
              <w:top w:w="80" w:type="dxa"/>
              <w:start w:w="120" w:type="dxa"/>
              <w:bottom w:w="80" w:type="dxa"/>
              <w:end w:w="120" w:type="dxa"/>
            </w:tcMar>
            <w:shd w:fill="E8EEF5"/>
            <w:vAlign w:val="center"/>
          </w:tcPr>
          <w:p>
            <w:pPr>
              <w:spacing w:after="0"/>
            </w:pPr>
            <w:r>
              <w:rPr>
                <w:b/>
                <w:color w:val="0B2545"/>
                <w:sz w:val="18"/>
              </w:rPr>
              <w:t>Required next action</w:t>
            </w:r>
          </w:p>
        </w:tc>
      </w:tr>
      <w:tr>
        <w:trPr>
          <w:cantSplit/>
        </w:trPr>
        <w:tc>
          <w:tcPr>
            <w:tcW w:type="dxa" w:w="3300"/>
            <w:tcMar>
              <w:top w:w="80" w:type="dxa"/>
              <w:start w:w="120" w:type="dxa"/>
              <w:bottom w:w="80" w:type="dxa"/>
              <w:end w:w="120" w:type="dxa"/>
            </w:tcMar>
            <w:vAlign w:val="top"/>
          </w:tcPr>
          <w:p>
            <w:pPr>
              <w:spacing w:after="0" w:line="264" w:lineRule="auto"/>
            </w:pPr>
            <w:r>
              <w:rPr>
                <w:sz w:val="18"/>
              </w:rPr>
              <w:t>Placeholder image registry</w:t>
            </w:r>
          </w:p>
        </w:tc>
        <w:tc>
          <w:tcPr>
            <w:tcW w:type="dxa" w:w="6060"/>
            <w:tcMar>
              <w:top w:w="80" w:type="dxa"/>
              <w:start w:w="120" w:type="dxa"/>
              <w:bottom w:w="80" w:type="dxa"/>
              <w:end w:w="120" w:type="dxa"/>
            </w:tcMar>
            <w:vAlign w:val="top"/>
          </w:tcPr>
          <w:p>
            <w:pPr>
              <w:spacing w:after="0" w:line="264" w:lineRule="auto"/>
            </w:pPr>
            <w:r>
              <w:rPr>
                <w:sz w:val="18"/>
              </w:rPr>
              <w:t>Build, scan, push, sign, and replace approved-registry.example.com/platform/ocp-monitor:1.0.0.</w:t>
            </w:r>
          </w:p>
        </w:tc>
      </w:tr>
      <w:tr>
        <w:trPr>
          <w:cantSplit/>
        </w:trPr>
        <w:tc>
          <w:tcPr>
            <w:tcW w:type="dxa" w:w="3300"/>
            <w:tcMar>
              <w:top w:w="80" w:type="dxa"/>
              <w:start w:w="120" w:type="dxa"/>
              <w:bottom w:w="80" w:type="dxa"/>
              <w:end w:w="120" w:type="dxa"/>
            </w:tcMar>
            <w:vAlign w:val="top"/>
            <w:shd w:fill="FAFBFC"/>
          </w:tcPr>
          <w:p>
            <w:pPr>
              <w:spacing w:after="0" w:line="264" w:lineRule="auto"/>
            </w:pPr>
            <w:r>
              <w:rPr>
                <w:sz w:val="18"/>
              </w:rPr>
              <w:t>External PostgreSQL assumption</w:t>
            </w:r>
          </w:p>
        </w:tc>
        <w:tc>
          <w:tcPr>
            <w:tcW w:type="dxa" w:w="6060"/>
            <w:tcMar>
              <w:top w:w="80" w:type="dxa"/>
              <w:start w:w="120" w:type="dxa"/>
              <w:bottom w:w="80" w:type="dxa"/>
              <w:end w:w="120" w:type="dxa"/>
            </w:tcMar>
            <w:vAlign w:val="top"/>
            <w:shd w:fill="FAFBFC"/>
          </w:tcPr>
          <w:p>
            <w:pPr>
              <w:spacing w:after="0" w:line="264" w:lineRule="auto"/>
            </w:pPr>
            <w:r>
              <w:rPr>
                <w:sz w:val="18"/>
              </w:rPr>
              <w:t>Provision managed service/Service/DNS, pgvector, TLS, backups, restore test, monitoring, and capacity.</w:t>
            </w:r>
          </w:p>
        </w:tc>
      </w:tr>
      <w:tr>
        <w:trPr>
          <w:cantSplit/>
        </w:trPr>
        <w:tc>
          <w:tcPr>
            <w:tcW w:type="dxa" w:w="3300"/>
            <w:tcMar>
              <w:top w:w="80" w:type="dxa"/>
              <w:start w:w="120" w:type="dxa"/>
              <w:bottom w:w="80" w:type="dxa"/>
              <w:end w:w="120" w:type="dxa"/>
            </w:tcMar>
            <w:vAlign w:val="top"/>
          </w:tcPr>
          <w:p>
            <w:pPr>
              <w:spacing w:after="0" w:line="264" w:lineRule="auto"/>
            </w:pPr>
            <w:r>
              <w:rPr>
                <w:sz w:val="18"/>
              </w:rPr>
              <w:t>Production secrets absent</w:t>
            </w:r>
          </w:p>
        </w:tc>
        <w:tc>
          <w:tcPr>
            <w:tcW w:type="dxa" w:w="6060"/>
            <w:tcMar>
              <w:top w:w="80" w:type="dxa"/>
              <w:start w:w="120" w:type="dxa"/>
              <w:bottom w:w="80" w:type="dxa"/>
              <w:end w:w="120" w:type="dxa"/>
            </w:tcMar>
            <w:vAlign w:val="top"/>
          </w:tcPr>
          <w:p>
            <w:pPr>
              <w:spacing w:after="0" w:line="264" w:lineRule="auto"/>
            </w:pPr>
            <w:r>
              <w:rPr>
                <w:sz w:val="18"/>
              </w:rPr>
              <w:t>Create Secret from approved secret manager; validate every required key.</w:t>
            </w:r>
          </w:p>
        </w:tc>
      </w:tr>
      <w:tr>
        <w:trPr>
          <w:cantSplit/>
        </w:trPr>
        <w:tc>
          <w:tcPr>
            <w:tcW w:type="dxa" w:w="3300"/>
            <w:tcMar>
              <w:top w:w="80" w:type="dxa"/>
              <w:start w:w="120" w:type="dxa"/>
              <w:bottom w:w="80" w:type="dxa"/>
              <w:end w:w="120" w:type="dxa"/>
            </w:tcMar>
            <w:vAlign w:val="top"/>
            <w:shd w:fill="FAFBFC"/>
          </w:tcPr>
          <w:p>
            <w:pPr>
              <w:spacing w:after="0" w:line="264" w:lineRule="auto"/>
            </w:pPr>
            <w:r>
              <w:rPr>
                <w:sz w:val="18"/>
              </w:rPr>
              <w:t>Feature flags conservative</w:t>
            </w:r>
          </w:p>
        </w:tc>
        <w:tc>
          <w:tcPr>
            <w:tcW w:type="dxa" w:w="6060"/>
            <w:tcMar>
              <w:top w:w="80" w:type="dxa"/>
              <w:start w:w="120" w:type="dxa"/>
              <w:bottom w:w="80" w:type="dxa"/>
              <w:end w:w="120" w:type="dxa"/>
            </w:tcMar>
            <w:vAlign w:val="top"/>
            <w:shd w:fill="FAFBFC"/>
          </w:tcPr>
          <w:p>
            <w:pPr>
              <w:spacing w:after="0" w:line="264" w:lineRule="auto"/>
            </w:pPr>
            <w:r>
              <w:rPr>
                <w:sz w:val="18"/>
              </w:rPr>
              <w:t>EMAIL_ENABLED and ESCALATION_ENABLED are false; enable only after integration acceptance.</w:t>
            </w:r>
          </w:p>
        </w:tc>
      </w:tr>
      <w:tr>
        <w:trPr>
          <w:cantSplit/>
        </w:trPr>
        <w:tc>
          <w:tcPr>
            <w:tcW w:type="dxa" w:w="3300"/>
            <w:tcMar>
              <w:top w:w="80" w:type="dxa"/>
              <w:start w:w="120" w:type="dxa"/>
              <w:bottom w:w="80" w:type="dxa"/>
              <w:end w:w="120" w:type="dxa"/>
            </w:tcMar>
            <w:vAlign w:val="top"/>
          </w:tcPr>
          <w:p>
            <w:pPr>
              <w:spacing w:after="0" w:line="264" w:lineRule="auto"/>
            </w:pPr>
            <w:r>
              <w:rPr>
                <w:sz w:val="18"/>
              </w:rPr>
              <w:t>Production approval URL empty</w:t>
            </w:r>
          </w:p>
        </w:tc>
        <w:tc>
          <w:tcPr>
            <w:tcW w:type="dxa" w:w="6060"/>
            <w:tcMar>
              <w:top w:w="80" w:type="dxa"/>
              <w:start w:w="120" w:type="dxa"/>
              <w:bottom w:w="80" w:type="dxa"/>
              <w:end w:w="120" w:type="dxa"/>
            </w:tcMar>
            <w:vAlign w:val="top"/>
          </w:tcPr>
          <w:p>
            <w:pPr>
              <w:spacing w:after="0" w:line="264" w:lineRule="auto"/>
            </w:pPr>
            <w:r>
              <w:rPr>
                <w:sz w:val="18"/>
              </w:rPr>
              <w:t>Set HITL_DASHBOARD_URL to the final HTTPS Route.</w:t>
            </w:r>
          </w:p>
        </w:tc>
      </w:tr>
      <w:tr>
        <w:trPr>
          <w:cantSplit/>
        </w:trPr>
        <w:tc>
          <w:tcPr>
            <w:tcW w:type="dxa" w:w="3300"/>
            <w:tcMar>
              <w:top w:w="80" w:type="dxa"/>
              <w:start w:w="120" w:type="dxa"/>
              <w:bottom w:w="80" w:type="dxa"/>
              <w:end w:w="120" w:type="dxa"/>
            </w:tcMar>
            <w:vAlign w:val="top"/>
            <w:shd w:fill="FAFBFC"/>
          </w:tcPr>
          <w:p>
            <w:pPr>
              <w:spacing w:after="0" w:line="264" w:lineRule="auto"/>
            </w:pPr>
            <w:r>
              <w:rPr>
                <w:sz w:val="18"/>
              </w:rPr>
              <w:t>Namespace not deployed</w:t>
            </w:r>
          </w:p>
        </w:tc>
        <w:tc>
          <w:tcPr>
            <w:tcW w:type="dxa" w:w="6060"/>
            <w:tcMar>
              <w:top w:w="80" w:type="dxa"/>
              <w:start w:w="120" w:type="dxa"/>
              <w:bottom w:w="80" w:type="dxa"/>
              <w:end w:w="120" w:type="dxa"/>
            </w:tcMar>
            <w:vAlign w:val="top"/>
            <w:shd w:fill="FAFBFC"/>
          </w:tcPr>
          <w:p>
            <w:pPr>
              <w:spacing w:after="0" w:line="264" w:lineRule="auto"/>
            </w:pPr>
            <w:r>
              <w:rPr>
                <w:sz w:val="18"/>
              </w:rPr>
              <w:t>Create/apply ocp-monitor resources in the intended cluster and environment.</w:t>
            </w:r>
          </w:p>
        </w:tc>
      </w:tr>
      <w:tr>
        <w:trPr>
          <w:cantSplit/>
        </w:trPr>
        <w:tc>
          <w:tcPr>
            <w:tcW w:type="dxa" w:w="3300"/>
            <w:tcMar>
              <w:top w:w="80" w:type="dxa"/>
              <w:start w:w="120" w:type="dxa"/>
              <w:bottom w:w="80" w:type="dxa"/>
              <w:end w:w="120" w:type="dxa"/>
            </w:tcMar>
            <w:vAlign w:val="top"/>
          </w:tcPr>
          <w:p>
            <w:pPr>
              <w:spacing w:after="0" w:line="264" w:lineRule="auto"/>
            </w:pPr>
            <w:r>
              <w:rPr>
                <w:sz w:val="18"/>
              </w:rPr>
              <w:t>Live remediation RBAC excluded</w:t>
            </w:r>
          </w:p>
        </w:tc>
        <w:tc>
          <w:tcPr>
            <w:tcW w:type="dxa" w:w="6060"/>
            <w:tcMar>
              <w:top w:w="80" w:type="dxa"/>
              <w:start w:w="120" w:type="dxa"/>
              <w:bottom w:w="80" w:type="dxa"/>
              <w:end w:w="120" w:type="dxa"/>
            </w:tcMar>
            <w:vAlign w:val="top"/>
          </w:tcPr>
          <w:p>
            <w:pPr>
              <w:spacing w:after="0" w:line="264" w:lineRule="auto"/>
            </w:pPr>
            <w:r>
              <w:rPr>
                <w:sz w:val="18"/>
              </w:rPr>
              <w:t>Keep excluded unless governance approves; then narrow it to the exact namespace/resource/action.</w:t>
            </w:r>
          </w:p>
        </w:tc>
      </w:tr>
      <w:tr>
        <w:trPr>
          <w:cantSplit/>
        </w:trPr>
        <w:tc>
          <w:tcPr>
            <w:tcW w:type="dxa" w:w="3300"/>
            <w:tcMar>
              <w:top w:w="80" w:type="dxa"/>
              <w:start w:w="120" w:type="dxa"/>
              <w:bottom w:w="80" w:type="dxa"/>
              <w:end w:w="120" w:type="dxa"/>
            </w:tcMar>
            <w:vAlign w:val="top"/>
            <w:shd w:fill="FAFBFC"/>
          </w:tcPr>
          <w:p>
            <w:pPr>
              <w:spacing w:after="0" w:line="264" w:lineRule="auto"/>
            </w:pPr>
            <w:r>
              <w:rPr>
                <w:sz w:val="18"/>
              </w:rPr>
              <w:t>Dashboard authentication</w:t>
            </w:r>
          </w:p>
        </w:tc>
        <w:tc>
          <w:tcPr>
            <w:tcW w:type="dxa" w:w="6060"/>
            <w:tcMar>
              <w:top w:w="80" w:type="dxa"/>
              <w:start w:w="120" w:type="dxa"/>
              <w:bottom w:w="80" w:type="dxa"/>
              <w:end w:w="120" w:type="dxa"/>
            </w:tcMar>
            <w:vAlign w:val="top"/>
            <w:shd w:fill="FAFBFC"/>
          </w:tcPr>
          <w:p>
            <w:pPr>
              <w:spacing w:after="0" w:line="264" w:lineRule="auto"/>
            </w:pPr>
            <w:r>
              <w:rPr>
                <w:sz w:val="18"/>
              </w:rPr>
              <w:t>Add/verify OpenShift OAuth proxy, SSO, or equivalent authenticated ingress for production.</w:t>
            </w:r>
          </w:p>
        </w:tc>
      </w:tr>
      <w:tr>
        <w:trPr>
          <w:cantSplit/>
        </w:trPr>
        <w:tc>
          <w:tcPr>
            <w:tcW w:type="dxa" w:w="3300"/>
            <w:tcMar>
              <w:top w:w="80" w:type="dxa"/>
              <w:start w:w="120" w:type="dxa"/>
              <w:bottom w:w="80" w:type="dxa"/>
              <w:end w:w="120" w:type="dxa"/>
            </w:tcMar>
            <w:vAlign w:val="top"/>
          </w:tcPr>
          <w:p>
            <w:pPr>
              <w:spacing w:after="0" w:line="264" w:lineRule="auto"/>
            </w:pPr>
            <w:r>
              <w:rPr>
                <w:sz w:val="18"/>
              </w:rPr>
              <w:t>Full CI gap</w:t>
            </w:r>
          </w:p>
        </w:tc>
        <w:tc>
          <w:tcPr>
            <w:tcW w:type="dxa" w:w="6060"/>
            <w:tcMar>
              <w:top w:w="80" w:type="dxa"/>
              <w:start w:w="120" w:type="dxa"/>
              <w:bottom w:w="80" w:type="dxa"/>
              <w:end w:w="120" w:type="dxa"/>
            </w:tcMar>
            <w:vAlign w:val="top"/>
          </w:tcPr>
          <w:p>
            <w:pPr>
              <w:spacing w:after="0" w:line="264" w:lineRule="auto"/>
            </w:pPr>
            <w:r>
              <w:rPr>
                <w:sz w:val="18"/>
              </w:rPr>
              <w:t>Install pytest in development/CI requirements and run the complete suite.</w:t>
            </w:r>
          </w:p>
        </w:tc>
      </w:tr>
      <w:tr>
        <w:trPr>
          <w:cantSplit/>
        </w:trPr>
        <w:tc>
          <w:tcPr>
            <w:tcW w:type="dxa" w:w="3300"/>
            <w:tcMar>
              <w:top w:w="80" w:type="dxa"/>
              <w:start w:w="120" w:type="dxa"/>
              <w:bottom w:w="80" w:type="dxa"/>
              <w:end w:w="120" w:type="dxa"/>
            </w:tcMar>
            <w:vAlign w:val="top"/>
            <w:shd w:fill="FAFBFC"/>
          </w:tcPr>
          <w:p>
            <w:pPr>
              <w:spacing w:after="0" w:line="264" w:lineRule="auto"/>
            </w:pPr>
            <w:r>
              <w:rPr>
                <w:sz w:val="18"/>
              </w:rPr>
              <w:t>Secret-read review</w:t>
            </w:r>
          </w:p>
        </w:tc>
        <w:tc>
          <w:tcPr>
            <w:tcW w:type="dxa" w:w="6060"/>
            <w:tcMar>
              <w:top w:w="80" w:type="dxa"/>
              <w:start w:w="120" w:type="dxa"/>
              <w:bottom w:w="80" w:type="dxa"/>
              <w:end w:w="120" w:type="dxa"/>
            </w:tcMar>
            <w:vAlign w:val="top"/>
            <w:shd w:fill="FAFBFC"/>
          </w:tcPr>
          <w:p>
            <w:pPr>
              <w:spacing w:after="0" w:line="264" w:lineRule="auto"/>
            </w:pPr>
            <w:r>
              <w:rPr>
                <w:sz w:val="18"/>
              </w:rPr>
              <w:t>Confirm certificate monitoring does not require unnecessary cluster-wide Secret access.</w:t>
            </w:r>
          </w:p>
        </w:tc>
      </w:tr>
      <w:tr>
        <w:trPr>
          <w:cantSplit/>
        </w:trPr>
        <w:tc>
          <w:tcPr>
            <w:tcW w:type="dxa" w:w="3300"/>
            <w:tcMar>
              <w:top w:w="80" w:type="dxa"/>
              <w:start w:w="120" w:type="dxa"/>
              <w:bottom w:w="80" w:type="dxa"/>
              <w:end w:w="120" w:type="dxa"/>
            </w:tcMar>
            <w:vAlign w:val="top"/>
          </w:tcPr>
          <w:p>
            <w:pPr>
              <w:spacing w:after="0" w:line="264" w:lineRule="auto"/>
            </w:pPr>
            <w:r>
              <w:rPr>
                <w:sz w:val="18"/>
              </w:rPr>
              <w:t>Operational ownership</w:t>
            </w:r>
          </w:p>
        </w:tc>
        <w:tc>
          <w:tcPr>
            <w:tcW w:type="dxa" w:w="6060"/>
            <w:tcMar>
              <w:top w:w="80" w:type="dxa"/>
              <w:start w:w="120" w:type="dxa"/>
              <w:bottom w:w="80" w:type="dxa"/>
              <w:end w:w="120" w:type="dxa"/>
            </w:tcMar>
            <w:vAlign w:val="top"/>
          </w:tcPr>
          <w:p>
            <w:pPr>
              <w:spacing w:after="0" w:line="264" w:lineRule="auto"/>
            </w:pPr>
            <w:r>
              <w:rPr>
                <w:sz w:val="18"/>
              </w:rPr>
              <w:t>Define on-call, event recipients, escalation owners, audit retention, SLOs, and support procedure.</w:t>
            </w:r>
          </w:p>
        </w:tc>
      </w:tr>
    </w:tbl>
    <w:p>
      <w:pPr>
        <w:spacing w:after="0"/>
      </w:pPr>
    </w:p>
    <w:p>
      <w:pPr>
        <w:pStyle w:val="Heading1"/>
      </w:pPr>
      <w:r>
        <w:t>20. Codebase reference</w:t>
      </w:r>
    </w:p>
    <w:tbl>
      <w:tblPr>
        <w:tblW w:type="dxa" w:w="9360"/>
        <w:jc w:val="center"/>
        <w:tblLayout w:type="fixed"/>
        <w:tblLook w:firstColumn="1" w:firstRow="1" w:lastColumn="0" w:lastRow="0" w:noHBand="0" w:noVBand="1" w:val="04A0"/>
        <w:tblInd w:w="120" w:type="dxa"/>
        <w:tblLayout w:type="fixed"/>
      </w:tblPr>
      <w:tblGrid>
        <w:gridCol w:w="3200"/>
        <w:gridCol w:w="6160"/>
      </w:tblGrid>
      <w:tr>
        <w:trPr>
          <w:tblHeader w:val="true"/>
          <w:cantSplit/>
        </w:trPr>
        <w:tc>
          <w:tcPr>
            <w:tcW w:type="dxa" w:w="3200"/>
            <w:tcMar>
              <w:top w:w="80" w:type="dxa"/>
              <w:start w:w="120" w:type="dxa"/>
              <w:bottom w:w="80" w:type="dxa"/>
              <w:end w:w="120" w:type="dxa"/>
            </w:tcMar>
            <w:shd w:fill="E8EEF5"/>
            <w:vAlign w:val="center"/>
          </w:tcPr>
          <w:p>
            <w:pPr>
              <w:spacing w:after="0"/>
            </w:pPr>
            <w:r>
              <w:rPr>
                <w:b/>
                <w:color w:val="0B2545"/>
                <w:sz w:val="16"/>
              </w:rPr>
              <w:t>Path</w:t>
            </w:r>
          </w:p>
        </w:tc>
        <w:tc>
          <w:tcPr>
            <w:tcW w:type="dxa" w:w="6160"/>
            <w:tcMar>
              <w:top w:w="80" w:type="dxa"/>
              <w:start w:w="120" w:type="dxa"/>
              <w:bottom w:w="80" w:type="dxa"/>
              <w:end w:w="120" w:type="dxa"/>
            </w:tcMar>
            <w:shd w:fill="E8EEF5"/>
            <w:vAlign w:val="center"/>
          </w:tcPr>
          <w:p>
            <w:pPr>
              <w:spacing w:after="0"/>
            </w:pPr>
            <w:r>
              <w:rPr>
                <w:b/>
                <w:color w:val="0B2545"/>
                <w:sz w:val="16"/>
              </w:rPr>
              <w:t>Responsibility</w:t>
            </w:r>
          </w:p>
        </w:tc>
      </w:tr>
      <w:tr>
        <w:trPr>
          <w:cantSplit/>
        </w:trPr>
        <w:tc>
          <w:tcPr>
            <w:tcW w:type="dxa" w:w="3200"/>
            <w:tcMar>
              <w:top w:w="80" w:type="dxa"/>
              <w:start w:w="120" w:type="dxa"/>
              <w:bottom w:w="80" w:type="dxa"/>
              <w:end w:w="120" w:type="dxa"/>
            </w:tcMar>
            <w:vAlign w:val="top"/>
          </w:tcPr>
          <w:p>
            <w:pPr>
              <w:spacing w:after="0" w:line="264" w:lineRule="auto"/>
            </w:pPr>
            <w:r>
              <w:rPr>
                <w:sz w:val="16"/>
              </w:rPr>
              <w:t>scheduler.py</w:t>
            </w:r>
          </w:p>
        </w:tc>
        <w:tc>
          <w:tcPr>
            <w:tcW w:type="dxa" w:w="6160"/>
            <w:tcMar>
              <w:top w:w="80" w:type="dxa"/>
              <w:start w:w="120" w:type="dxa"/>
              <w:bottom w:w="80" w:type="dxa"/>
              <w:end w:w="120" w:type="dxa"/>
            </w:tcMar>
            <w:vAlign w:val="top"/>
          </w:tcPr>
          <w:p>
            <w:pPr>
              <w:spacing w:after="0" w:line="264" w:lineRule="auto"/>
            </w:pPr>
            <w:r>
              <w:rPr>
                <w:sz w:val="16"/>
              </w:rPr>
              <w:t>Production scheduler entry point, startup checks, immediate/interval cycles, remediation polling, heartbeat.</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run_streamlit.py</w:t>
            </w:r>
          </w:p>
        </w:tc>
        <w:tc>
          <w:tcPr>
            <w:tcW w:type="dxa" w:w="6160"/>
            <w:tcMar>
              <w:top w:w="80" w:type="dxa"/>
              <w:start w:w="120" w:type="dxa"/>
              <w:bottom w:w="80" w:type="dxa"/>
              <w:end w:w="120" w:type="dxa"/>
            </w:tcMar>
            <w:vAlign w:val="top"/>
            <w:shd w:fill="FAFBFC"/>
          </w:tcPr>
          <w:p>
            <w:pPr>
              <w:spacing w:after="0" w:line="264" w:lineRule="auto"/>
            </w:pPr>
            <w:r>
              <w:rPr>
                <w:sz w:val="16"/>
              </w:rPr>
              <w:t>Streamlit launcher.</w:t>
            </w:r>
          </w:p>
        </w:tc>
      </w:tr>
      <w:tr>
        <w:trPr>
          <w:cantSplit/>
        </w:trPr>
        <w:tc>
          <w:tcPr>
            <w:tcW w:type="dxa" w:w="3200"/>
            <w:tcMar>
              <w:top w:w="80" w:type="dxa"/>
              <w:start w:w="120" w:type="dxa"/>
              <w:bottom w:w="80" w:type="dxa"/>
              <w:end w:w="120" w:type="dxa"/>
            </w:tcMar>
            <w:vAlign w:val="top"/>
          </w:tcPr>
          <w:p>
            <w:pPr>
              <w:spacing w:after="0" w:line="264" w:lineRule="auto"/>
            </w:pPr>
            <w:r>
              <w:rPr>
                <w:sz w:val="16"/>
              </w:rPr>
              <w:t>agent/agent.py</w:t>
            </w:r>
          </w:p>
        </w:tc>
        <w:tc>
          <w:tcPr>
            <w:tcW w:type="dxa" w:w="6160"/>
            <w:tcMar>
              <w:top w:w="80" w:type="dxa"/>
              <w:start w:w="120" w:type="dxa"/>
              <w:bottom w:w="80" w:type="dxa"/>
              <w:end w:w="120" w:type="dxa"/>
            </w:tcMar>
            <w:vAlign w:val="top"/>
          </w:tcPr>
          <w:p>
            <w:pPr>
              <w:spacing w:after="0" w:line="264" w:lineRule="auto"/>
            </w:pPr>
            <w:r>
              <w:rPr>
                <w:sz w:val="16"/>
              </w:rPr>
              <w:t>Builds and executes the 17-node LangGraph workflow.</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agent/state.py</w:t>
            </w:r>
          </w:p>
        </w:tc>
        <w:tc>
          <w:tcPr>
            <w:tcW w:type="dxa" w:w="6160"/>
            <w:tcMar>
              <w:top w:w="80" w:type="dxa"/>
              <w:start w:w="120" w:type="dxa"/>
              <w:bottom w:w="80" w:type="dxa"/>
              <w:end w:w="120" w:type="dxa"/>
            </w:tcMar>
            <w:vAlign w:val="top"/>
            <w:shd w:fill="FAFBFC"/>
          </w:tcPr>
          <w:p>
            <w:pPr>
              <w:spacing w:after="0" w:line="264" w:lineRule="auto"/>
            </w:pPr>
            <w:r>
              <w:rPr>
                <w:sz w:val="16"/>
              </w:rPr>
              <w:t>Shared ClusterState schema and reducer-aware fields.</w:t>
            </w:r>
          </w:p>
        </w:tc>
      </w:tr>
      <w:tr>
        <w:trPr>
          <w:cantSplit/>
        </w:trPr>
        <w:tc>
          <w:tcPr>
            <w:tcW w:type="dxa" w:w="3200"/>
            <w:tcMar>
              <w:top w:w="80" w:type="dxa"/>
              <w:start w:w="120" w:type="dxa"/>
              <w:bottom w:w="80" w:type="dxa"/>
              <w:end w:w="120" w:type="dxa"/>
            </w:tcMar>
            <w:vAlign w:val="top"/>
          </w:tcPr>
          <w:p>
            <w:pPr>
              <w:spacing w:after="0" w:line="264" w:lineRule="auto"/>
            </w:pPr>
            <w:r>
              <w:rPr>
                <w:sz w:val="16"/>
              </w:rPr>
              <w:t>agent/nodes.py</w:t>
            </w:r>
          </w:p>
        </w:tc>
        <w:tc>
          <w:tcPr>
            <w:tcW w:type="dxa" w:w="6160"/>
            <w:tcMar>
              <w:top w:w="80" w:type="dxa"/>
              <w:start w:w="120" w:type="dxa"/>
              <w:bottom w:w="80" w:type="dxa"/>
              <w:end w:w="120" w:type="dxa"/>
            </w:tcMar>
            <w:vAlign w:val="top"/>
          </w:tcPr>
          <w:p>
            <w:pPr>
              <w:spacing w:after="0" w:line="264" w:lineRule="auto"/>
            </w:pPr>
            <w:r>
              <w:rPr>
                <w:sz w:val="16"/>
              </w:rPr>
              <w:t>Collector adapters and workflow business logic.</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agent/tools.py</w:t>
            </w:r>
          </w:p>
        </w:tc>
        <w:tc>
          <w:tcPr>
            <w:tcW w:type="dxa" w:w="6160"/>
            <w:tcMar>
              <w:top w:w="80" w:type="dxa"/>
              <w:start w:w="120" w:type="dxa"/>
              <w:bottom w:w="80" w:type="dxa"/>
              <w:end w:w="120" w:type="dxa"/>
            </w:tcMar>
            <w:vAlign w:val="top"/>
            <w:shd w:fill="FAFBFC"/>
          </w:tcPr>
          <w:p>
            <w:pPr>
              <w:spacing w:after="0" w:line="264" w:lineRule="auto"/>
            </w:pPr>
            <w:r>
              <w:rPr>
                <w:sz w:val="16"/>
              </w:rPr>
              <w:t>Low-level Kubernetes/OpenShift API operations.</w:t>
            </w:r>
          </w:p>
        </w:tc>
      </w:tr>
      <w:tr>
        <w:trPr>
          <w:cantSplit/>
        </w:trPr>
        <w:tc>
          <w:tcPr>
            <w:tcW w:type="dxa" w:w="3200"/>
            <w:tcMar>
              <w:top w:w="80" w:type="dxa"/>
              <w:start w:w="120" w:type="dxa"/>
              <w:bottom w:w="80" w:type="dxa"/>
              <w:end w:w="120" w:type="dxa"/>
            </w:tcMar>
            <w:vAlign w:val="top"/>
          </w:tcPr>
          <w:p>
            <w:pPr>
              <w:spacing w:after="0" w:line="264" w:lineRule="auto"/>
            </w:pPr>
            <w:r>
              <w:rPr>
                <w:sz w:val="16"/>
              </w:rPr>
              <w:t>agent/config.py</w:t>
            </w:r>
          </w:p>
        </w:tc>
        <w:tc>
          <w:tcPr>
            <w:tcW w:type="dxa" w:w="6160"/>
            <w:tcMar>
              <w:top w:w="80" w:type="dxa"/>
              <w:start w:w="120" w:type="dxa"/>
              <w:bottom w:w="80" w:type="dxa"/>
              <w:end w:w="120" w:type="dxa"/>
            </w:tcMar>
            <w:vAlign w:val="top"/>
          </w:tcPr>
          <w:p>
            <w:pPr>
              <w:spacing w:after="0" w:line="264" w:lineRule="auto"/>
            </w:pPr>
            <w:r>
              <w:rPr>
                <w:sz w:val="16"/>
              </w:rPr>
              <w:t>Pydantic settings, environment parsing, cross-field validation, and feature gates.</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agent/llm_chains.py</w:t>
            </w:r>
          </w:p>
        </w:tc>
        <w:tc>
          <w:tcPr>
            <w:tcW w:type="dxa" w:w="6160"/>
            <w:tcMar>
              <w:top w:w="80" w:type="dxa"/>
              <w:start w:w="120" w:type="dxa"/>
              <w:bottom w:w="80" w:type="dxa"/>
              <w:end w:w="120" w:type="dxa"/>
            </w:tcMar>
            <w:vAlign w:val="top"/>
            <w:shd w:fill="FAFBFC"/>
          </w:tcPr>
          <w:p>
            <w:pPr>
              <w:spacing w:after="0" w:line="264" w:lineRule="auto"/>
            </w:pPr>
            <w:r>
              <w:rPr>
                <w:sz w:val="16"/>
              </w:rPr>
              <w:t>Groq/LangChain structured analysis and resolution chains.</w:t>
            </w:r>
          </w:p>
        </w:tc>
      </w:tr>
      <w:tr>
        <w:trPr>
          <w:cantSplit/>
        </w:trPr>
        <w:tc>
          <w:tcPr>
            <w:tcW w:type="dxa" w:w="3200"/>
            <w:tcMar>
              <w:top w:w="80" w:type="dxa"/>
              <w:start w:w="120" w:type="dxa"/>
              <w:bottom w:w="80" w:type="dxa"/>
              <w:end w:w="120" w:type="dxa"/>
            </w:tcMar>
            <w:vAlign w:val="top"/>
          </w:tcPr>
          <w:p>
            <w:pPr>
              <w:spacing w:after="0" w:line="264" w:lineRule="auto"/>
            </w:pPr>
            <w:r>
              <w:rPr>
                <w:sz w:val="16"/>
              </w:rPr>
              <w:t>agent/rag.py</w:t>
            </w:r>
          </w:p>
        </w:tc>
        <w:tc>
          <w:tcPr>
            <w:tcW w:type="dxa" w:w="6160"/>
            <w:tcMar>
              <w:top w:w="80" w:type="dxa"/>
              <w:start w:w="120" w:type="dxa"/>
              <w:bottom w:w="80" w:type="dxa"/>
              <w:end w:w="120" w:type="dxa"/>
            </w:tcMar>
            <w:vAlign w:val="top"/>
          </w:tcPr>
          <w:p>
            <w:pPr>
              <w:spacing w:after="0" w:line="264" w:lineRule="auto"/>
            </w:pPr>
            <w:r>
              <w:rPr>
                <w:sz w:val="16"/>
              </w:rPr>
              <w:t>LlamaIndex/pgvector semantic retrieval and incident indexing.</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agent/db.py</w:t>
            </w:r>
          </w:p>
        </w:tc>
        <w:tc>
          <w:tcPr>
            <w:tcW w:type="dxa" w:w="6160"/>
            <w:tcMar>
              <w:top w:w="80" w:type="dxa"/>
              <w:start w:w="120" w:type="dxa"/>
              <w:bottom w:w="80" w:type="dxa"/>
              <w:end w:w="120" w:type="dxa"/>
            </w:tcMar>
            <w:vAlign w:val="top"/>
            <w:shd w:fill="FAFBFC"/>
          </w:tcPr>
          <w:p>
            <w:pPr>
              <w:spacing w:after="0" w:line="264" w:lineRule="auto"/>
            </w:pPr>
            <w:r>
              <w:rPr>
                <w:sz w:val="16"/>
              </w:rPr>
              <w:t>SQLAlchemy engine, sessions, schema initialization, health.</w:t>
            </w:r>
          </w:p>
        </w:tc>
      </w:tr>
      <w:tr>
        <w:trPr>
          <w:cantSplit/>
        </w:trPr>
        <w:tc>
          <w:tcPr>
            <w:tcW w:type="dxa" w:w="3200"/>
            <w:tcMar>
              <w:top w:w="80" w:type="dxa"/>
              <w:start w:w="120" w:type="dxa"/>
              <w:bottom w:w="80" w:type="dxa"/>
              <w:end w:w="120" w:type="dxa"/>
            </w:tcMar>
            <w:vAlign w:val="top"/>
          </w:tcPr>
          <w:p>
            <w:pPr>
              <w:spacing w:after="0" w:line="264" w:lineRule="auto"/>
            </w:pPr>
            <w:r>
              <w:rPr>
                <w:sz w:val="16"/>
              </w:rPr>
              <w:t>agent/models.py</w:t>
            </w:r>
          </w:p>
        </w:tc>
        <w:tc>
          <w:tcPr>
            <w:tcW w:type="dxa" w:w="6160"/>
            <w:tcMar>
              <w:top w:w="80" w:type="dxa"/>
              <w:start w:w="120" w:type="dxa"/>
              <w:bottom w:w="80" w:type="dxa"/>
              <w:end w:w="120" w:type="dxa"/>
            </w:tcMar>
            <w:vAlign w:val="top"/>
          </w:tcPr>
          <w:p>
            <w:pPr>
              <w:spacing w:after="0" w:line="264" w:lineRule="auto"/>
            </w:pPr>
            <w:r>
              <w:rPr>
                <w:sz w:val="16"/>
              </w:rPr>
              <w:t>Relational models for runs, failures, resolutions, incidents, and remediation.</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agent/reporter.py</w:t>
            </w:r>
          </w:p>
        </w:tc>
        <w:tc>
          <w:tcPr>
            <w:tcW w:type="dxa" w:w="6160"/>
            <w:tcMar>
              <w:top w:w="80" w:type="dxa"/>
              <w:start w:w="120" w:type="dxa"/>
              <w:bottom w:w="80" w:type="dxa"/>
              <w:end w:w="120" w:type="dxa"/>
            </w:tcMar>
            <w:vAlign w:val="top"/>
            <w:shd w:fill="FAFBFC"/>
          </w:tcPr>
          <w:p>
            <w:pPr>
              <w:spacing w:after="0" w:line="264" w:lineRule="auto"/>
            </w:pPr>
            <w:r>
              <w:rPr>
                <w:sz w:val="16"/>
              </w:rPr>
              <w:t>Gmail-safe inline-CSS HTML report.</w:t>
            </w:r>
          </w:p>
        </w:tc>
      </w:tr>
      <w:tr>
        <w:trPr>
          <w:cantSplit/>
        </w:trPr>
        <w:tc>
          <w:tcPr>
            <w:tcW w:type="dxa" w:w="3200"/>
            <w:tcMar>
              <w:top w:w="80" w:type="dxa"/>
              <w:start w:w="120" w:type="dxa"/>
              <w:bottom w:w="80" w:type="dxa"/>
              <w:end w:w="120" w:type="dxa"/>
            </w:tcMar>
            <w:vAlign w:val="top"/>
          </w:tcPr>
          <w:p>
            <w:pPr>
              <w:spacing w:after="0" w:line="264" w:lineRule="auto"/>
            </w:pPr>
            <w:r>
              <w:rPr>
                <w:sz w:val="16"/>
              </w:rPr>
              <w:t>agent/emailer.py</w:t>
            </w:r>
          </w:p>
        </w:tc>
        <w:tc>
          <w:tcPr>
            <w:tcW w:type="dxa" w:w="6160"/>
            <w:tcMar>
              <w:top w:w="80" w:type="dxa"/>
              <w:start w:w="120" w:type="dxa"/>
              <w:bottom w:w="80" w:type="dxa"/>
              <w:end w:w="120" w:type="dxa"/>
            </w:tcMar>
            <w:vAlign w:val="top"/>
          </w:tcPr>
          <w:p>
            <w:pPr>
              <w:spacing w:after="0" w:line="264" w:lineRule="auto"/>
            </w:pPr>
            <w:r>
              <w:rPr>
                <w:sz w:val="16"/>
              </w:rPr>
              <w:t>SMTP and SendGrid delivery adapters.</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agent/google_meet.py</w:t>
            </w:r>
          </w:p>
        </w:tc>
        <w:tc>
          <w:tcPr>
            <w:tcW w:type="dxa" w:w="6160"/>
            <w:tcMar>
              <w:top w:w="80" w:type="dxa"/>
              <w:start w:w="120" w:type="dxa"/>
              <w:bottom w:w="80" w:type="dxa"/>
              <w:end w:w="120" w:type="dxa"/>
            </w:tcMar>
            <w:vAlign w:val="top"/>
            <w:shd w:fill="FAFBFC"/>
          </w:tcPr>
          <w:p>
            <w:pPr>
              <w:spacing w:after="0" w:line="264" w:lineRule="auto"/>
            </w:pPr>
            <w:r>
              <w:rPr>
                <w:sz w:val="16"/>
              </w:rPr>
              <w:t>Google OAuth/Calendar event and Meet creation.</w:t>
            </w:r>
          </w:p>
        </w:tc>
      </w:tr>
      <w:tr>
        <w:trPr>
          <w:cantSplit/>
        </w:trPr>
        <w:tc>
          <w:tcPr>
            <w:tcW w:type="dxa" w:w="3200"/>
            <w:tcMar>
              <w:top w:w="80" w:type="dxa"/>
              <w:start w:w="120" w:type="dxa"/>
              <w:bottom w:w="80" w:type="dxa"/>
              <w:end w:w="120" w:type="dxa"/>
            </w:tcMar>
            <w:vAlign w:val="top"/>
          </w:tcPr>
          <w:p>
            <w:pPr>
              <w:spacing w:after="0" w:line="264" w:lineRule="auto"/>
            </w:pPr>
            <w:r>
              <w:rPr>
                <w:sz w:val="16"/>
              </w:rPr>
              <w:t>agent/remediation.py</w:t>
            </w:r>
          </w:p>
        </w:tc>
        <w:tc>
          <w:tcPr>
            <w:tcW w:type="dxa" w:w="6160"/>
            <w:tcMar>
              <w:top w:w="80" w:type="dxa"/>
              <w:start w:w="120" w:type="dxa"/>
              <w:bottom w:w="80" w:type="dxa"/>
              <w:end w:w="120" w:type="dxa"/>
            </w:tcMar>
            <w:vAlign w:val="top"/>
          </w:tcPr>
          <w:p>
            <w:pPr>
              <w:spacing w:after="0" w:line="264" w:lineRule="auto"/>
            </w:pPr>
            <w:r>
              <w:rPr>
                <w:sz w:val="16"/>
              </w:rPr>
              <w:t>Request lifecycle, authorization, safety validation, and rollout restart.</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agent/streamlit_dashboard.py</w:t>
            </w:r>
          </w:p>
        </w:tc>
        <w:tc>
          <w:tcPr>
            <w:tcW w:type="dxa" w:w="6160"/>
            <w:tcMar>
              <w:top w:w="80" w:type="dxa"/>
              <w:start w:w="120" w:type="dxa"/>
              <w:bottom w:w="80" w:type="dxa"/>
              <w:end w:w="120" w:type="dxa"/>
            </w:tcMar>
            <w:vAlign w:val="top"/>
            <w:shd w:fill="FAFBFC"/>
          </w:tcPr>
          <w:p>
            <w:pPr>
              <w:spacing w:after="0" w:line="264" w:lineRule="auto"/>
            </w:pPr>
            <w:r>
              <w:rPr>
                <w:sz w:val="16"/>
              </w:rPr>
              <w:t>Active command center and approval experience.</w:t>
            </w:r>
          </w:p>
        </w:tc>
      </w:tr>
      <w:tr>
        <w:trPr>
          <w:cantSplit/>
        </w:trPr>
        <w:tc>
          <w:tcPr>
            <w:tcW w:type="dxa" w:w="3200"/>
            <w:tcMar>
              <w:top w:w="80" w:type="dxa"/>
              <w:start w:w="120" w:type="dxa"/>
              <w:bottom w:w="80" w:type="dxa"/>
              <w:end w:w="120" w:type="dxa"/>
            </w:tcMar>
            <w:vAlign w:val="top"/>
          </w:tcPr>
          <w:p>
            <w:pPr>
              <w:spacing w:after="0" w:line="264" w:lineRule="auto"/>
            </w:pPr>
            <w:r>
              <w:rPr>
                <w:sz w:val="16"/>
              </w:rPr>
              <w:t>agent/dashboard.py</w:t>
            </w:r>
          </w:p>
        </w:tc>
        <w:tc>
          <w:tcPr>
            <w:tcW w:type="dxa" w:w="6160"/>
            <w:tcMar>
              <w:top w:w="80" w:type="dxa"/>
              <w:start w:w="120" w:type="dxa"/>
              <w:bottom w:w="80" w:type="dxa"/>
              <w:end w:w="120" w:type="dxa"/>
            </w:tcMar>
            <w:vAlign w:val="top"/>
          </w:tcPr>
          <w:p>
            <w:pPr>
              <w:spacing w:after="0" w:line="264" w:lineRule="auto"/>
            </w:pPr>
            <w:r>
              <w:rPr>
                <w:sz w:val="16"/>
              </w:rPr>
              <w:t>Alternative FastAPI/Jinja UI and API.</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agent/templates/dashboard.html</w:t>
            </w:r>
          </w:p>
        </w:tc>
        <w:tc>
          <w:tcPr>
            <w:tcW w:type="dxa" w:w="6160"/>
            <w:tcMar>
              <w:top w:w="80" w:type="dxa"/>
              <w:start w:w="120" w:type="dxa"/>
              <w:bottom w:w="80" w:type="dxa"/>
              <w:end w:w="120" w:type="dxa"/>
            </w:tcMar>
            <w:vAlign w:val="top"/>
            <w:shd w:fill="FAFBFC"/>
          </w:tcPr>
          <w:p>
            <w:pPr>
              <w:spacing w:after="0" w:line="264" w:lineRule="auto"/>
            </w:pPr>
            <w:r>
              <w:rPr>
                <w:sz w:val="16"/>
              </w:rPr>
              <w:t>Alternative dashboard template.</w:t>
            </w:r>
          </w:p>
        </w:tc>
      </w:tr>
      <w:tr>
        <w:trPr>
          <w:cantSplit/>
        </w:trPr>
        <w:tc>
          <w:tcPr>
            <w:tcW w:type="dxa" w:w="3200"/>
            <w:tcMar>
              <w:top w:w="80" w:type="dxa"/>
              <w:start w:w="120" w:type="dxa"/>
              <w:bottom w:w="80" w:type="dxa"/>
              <w:end w:w="120" w:type="dxa"/>
            </w:tcMar>
            <w:vAlign w:val="top"/>
          </w:tcPr>
          <w:p>
            <w:pPr>
              <w:spacing w:after="0" w:line="264" w:lineRule="auto"/>
            </w:pPr>
            <w:r>
              <w:rPr>
                <w:sz w:val="16"/>
              </w:rPr>
              <w:t>agent/healthcheck.py</w:t>
            </w:r>
          </w:p>
        </w:tc>
        <w:tc>
          <w:tcPr>
            <w:tcW w:type="dxa" w:w="6160"/>
            <w:tcMar>
              <w:top w:w="80" w:type="dxa"/>
              <w:start w:w="120" w:type="dxa"/>
              <w:bottom w:w="80" w:type="dxa"/>
              <w:end w:w="120" w:type="dxa"/>
            </w:tcMar>
            <w:vAlign w:val="top"/>
          </w:tcPr>
          <w:p>
            <w:pPr>
              <w:spacing w:after="0" w:line="264" w:lineRule="auto"/>
            </w:pPr>
            <w:r>
              <w:rPr>
                <w:sz w:val="16"/>
              </w:rPr>
              <w:t>Heartbeat and service health checks.</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agent/logger.py</w:t>
            </w:r>
          </w:p>
        </w:tc>
        <w:tc>
          <w:tcPr>
            <w:tcW w:type="dxa" w:w="6160"/>
            <w:tcMar>
              <w:top w:w="80" w:type="dxa"/>
              <w:start w:w="120" w:type="dxa"/>
              <w:bottom w:w="80" w:type="dxa"/>
              <w:end w:w="120" w:type="dxa"/>
            </w:tcMar>
            <w:vAlign w:val="top"/>
            <w:shd w:fill="FAFBFC"/>
          </w:tcPr>
          <w:p>
            <w:pPr>
              <w:spacing w:after="0" w:line="264" w:lineRule="auto"/>
            </w:pPr>
            <w:r>
              <w:rPr>
                <w:sz w:val="16"/>
              </w:rPr>
              <w:t>Structured logging configuration.</w:t>
            </w:r>
          </w:p>
        </w:tc>
      </w:tr>
      <w:tr>
        <w:trPr>
          <w:cantSplit/>
        </w:trPr>
        <w:tc>
          <w:tcPr>
            <w:tcW w:type="dxa" w:w="3200"/>
            <w:tcMar>
              <w:top w:w="80" w:type="dxa"/>
              <w:start w:w="120" w:type="dxa"/>
              <w:bottom w:w="80" w:type="dxa"/>
              <w:end w:w="120" w:type="dxa"/>
            </w:tcMar>
            <w:vAlign w:val="top"/>
          </w:tcPr>
          <w:p>
            <w:pPr>
              <w:spacing w:after="0" w:line="264" w:lineRule="auto"/>
            </w:pPr>
            <w:r>
              <w:rPr>
                <w:sz w:val="16"/>
              </w:rPr>
              <w:t>agent/escalation_owners.json</w:t>
            </w:r>
          </w:p>
        </w:tc>
        <w:tc>
          <w:tcPr>
            <w:tcW w:type="dxa" w:w="6160"/>
            <w:tcMar>
              <w:top w:w="80" w:type="dxa"/>
              <w:start w:w="120" w:type="dxa"/>
              <w:bottom w:w="80" w:type="dxa"/>
              <w:end w:w="120" w:type="dxa"/>
            </w:tcMar>
            <w:vAlign w:val="top"/>
          </w:tcPr>
          <w:p>
            <w:pPr>
              <w:spacing w:after="0" w:line="264" w:lineRule="auto"/>
            </w:pPr>
            <w:r>
              <w:rPr>
                <w:sz w:val="16"/>
              </w:rPr>
              <w:t>Component-to-owner routing with fallback.</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get_google_refresh_token.py</w:t>
            </w:r>
          </w:p>
        </w:tc>
        <w:tc>
          <w:tcPr>
            <w:tcW w:type="dxa" w:w="6160"/>
            <w:tcMar>
              <w:top w:w="80" w:type="dxa"/>
              <w:start w:w="120" w:type="dxa"/>
              <w:bottom w:w="80" w:type="dxa"/>
              <w:end w:w="120" w:type="dxa"/>
            </w:tcMar>
            <w:vAlign w:val="top"/>
            <w:shd w:fill="FAFBFC"/>
          </w:tcPr>
          <w:p>
            <w:pPr>
              <w:spacing w:after="0" w:line="264" w:lineRule="auto"/>
            </w:pPr>
            <w:r>
              <w:rPr>
                <w:sz w:val="16"/>
              </w:rPr>
              <w:t>Interactive helper for obtaining Calendar OAuth refresh token.</w:t>
            </w:r>
          </w:p>
        </w:tc>
      </w:tr>
      <w:tr>
        <w:trPr>
          <w:cantSplit/>
        </w:trPr>
        <w:tc>
          <w:tcPr>
            <w:tcW w:type="dxa" w:w="3200"/>
            <w:tcMar>
              <w:top w:w="80" w:type="dxa"/>
              <w:start w:w="120" w:type="dxa"/>
              <w:bottom w:w="80" w:type="dxa"/>
              <w:end w:w="120" w:type="dxa"/>
            </w:tcMar>
            <w:vAlign w:val="top"/>
          </w:tcPr>
          <w:p>
            <w:pPr>
              <w:spacing w:after="0" w:line="264" w:lineRule="auto"/>
            </w:pPr>
            <w:r>
              <w:rPr>
                <w:sz w:val="16"/>
              </w:rPr>
              <w:t>requirements.txt</w:t>
            </w:r>
          </w:p>
        </w:tc>
        <w:tc>
          <w:tcPr>
            <w:tcW w:type="dxa" w:w="6160"/>
            <w:tcMar>
              <w:top w:w="80" w:type="dxa"/>
              <w:start w:w="120" w:type="dxa"/>
              <w:bottom w:w="80" w:type="dxa"/>
              <w:end w:w="120" w:type="dxa"/>
            </w:tcMar>
            <w:vAlign w:val="top"/>
          </w:tcPr>
          <w:p>
            <w:pPr>
              <w:spacing w:after="0" w:line="264" w:lineRule="auto"/>
            </w:pPr>
            <w:r>
              <w:rPr>
                <w:sz w:val="16"/>
              </w:rPr>
              <w:t>Pinned application dependency set.</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Dockerfile</w:t>
            </w:r>
          </w:p>
        </w:tc>
        <w:tc>
          <w:tcPr>
            <w:tcW w:type="dxa" w:w="6160"/>
            <w:tcMar>
              <w:top w:w="80" w:type="dxa"/>
              <w:start w:w="120" w:type="dxa"/>
              <w:bottom w:w="80" w:type="dxa"/>
              <w:end w:w="120" w:type="dxa"/>
            </w:tcMar>
            <w:vAlign w:val="top"/>
            <w:shd w:fill="FAFBFC"/>
          </w:tcPr>
          <w:p>
            <w:pPr>
              <w:spacing w:after="0" w:line="264" w:lineRule="auto"/>
            </w:pPr>
            <w:r>
              <w:rPr>
                <w:sz w:val="16"/>
              </w:rPr>
              <w:t>Python 3.12 non-root application image.</w:t>
            </w:r>
          </w:p>
        </w:tc>
      </w:tr>
      <w:tr>
        <w:trPr>
          <w:cantSplit/>
        </w:trPr>
        <w:tc>
          <w:tcPr>
            <w:tcW w:type="dxa" w:w="3200"/>
            <w:tcMar>
              <w:top w:w="80" w:type="dxa"/>
              <w:start w:w="120" w:type="dxa"/>
              <w:bottom w:w="80" w:type="dxa"/>
              <w:end w:w="120" w:type="dxa"/>
            </w:tcMar>
            <w:vAlign w:val="top"/>
          </w:tcPr>
          <w:p>
            <w:pPr>
              <w:spacing w:after="0" w:line="264" w:lineRule="auto"/>
            </w:pPr>
            <w:r>
              <w:rPr>
                <w:sz w:val="16"/>
              </w:rPr>
              <w:t>compose.yaml</w:t>
            </w:r>
          </w:p>
        </w:tc>
        <w:tc>
          <w:tcPr>
            <w:tcW w:type="dxa" w:w="6160"/>
            <w:tcMar>
              <w:top w:w="80" w:type="dxa"/>
              <w:start w:w="120" w:type="dxa"/>
              <w:bottom w:w="80" w:type="dxa"/>
              <w:end w:w="120" w:type="dxa"/>
            </w:tcMar>
            <w:vAlign w:val="top"/>
          </w:tcPr>
          <w:p>
            <w:pPr>
              <w:spacing w:after="0" w:line="264" w:lineRule="auto"/>
            </w:pPr>
            <w:r>
              <w:rPr>
                <w:sz w:val="16"/>
              </w:rPr>
              <w:t>Local PostgreSQL, scheduler, and dashboard topology.</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deploy/kubernetes/</w:t>
            </w:r>
          </w:p>
        </w:tc>
        <w:tc>
          <w:tcPr>
            <w:tcW w:type="dxa" w:w="6160"/>
            <w:tcMar>
              <w:top w:w="80" w:type="dxa"/>
              <w:start w:w="120" w:type="dxa"/>
              <w:bottom w:w="80" w:type="dxa"/>
              <w:end w:w="120" w:type="dxa"/>
            </w:tcMar>
            <w:vAlign w:val="top"/>
            <w:shd w:fill="FAFBFC"/>
          </w:tcPr>
          <w:p>
            <w:pPr>
              <w:spacing w:after="0" w:line="264" w:lineRule="auto"/>
            </w:pPr>
            <w:r>
              <w:rPr>
                <w:sz w:val="16"/>
              </w:rPr>
              <w:t>OpenShift/Kubernetes manifests and examples.</w:t>
            </w:r>
          </w:p>
        </w:tc>
      </w:tr>
      <w:tr>
        <w:trPr>
          <w:cantSplit/>
        </w:trPr>
        <w:tc>
          <w:tcPr>
            <w:tcW w:type="dxa" w:w="3200"/>
            <w:tcMar>
              <w:top w:w="80" w:type="dxa"/>
              <w:start w:w="120" w:type="dxa"/>
              <w:bottom w:w="80" w:type="dxa"/>
              <w:end w:w="120" w:type="dxa"/>
            </w:tcMar>
            <w:vAlign w:val="top"/>
          </w:tcPr>
          <w:p>
            <w:pPr>
              <w:spacing w:after="0" w:line="264" w:lineRule="auto"/>
            </w:pPr>
            <w:r>
              <w:rPr>
                <w:sz w:val="16"/>
              </w:rPr>
              <w:t>tests/</w:t>
            </w:r>
          </w:p>
        </w:tc>
        <w:tc>
          <w:tcPr>
            <w:tcW w:type="dxa" w:w="6160"/>
            <w:tcMar>
              <w:top w:w="80" w:type="dxa"/>
              <w:start w:w="120" w:type="dxa"/>
              <w:bottom w:w="80" w:type="dxa"/>
              <w:end w:w="120" w:type="dxa"/>
            </w:tcMar>
            <w:vAlign w:val="top"/>
          </w:tcPr>
          <w:p>
            <w:pPr>
              <w:spacing w:after="0" w:line="264" w:lineRule="auto"/>
            </w:pPr>
            <w:r>
              <w:rPr>
                <w:sz w:val="16"/>
              </w:rPr>
              <w:t>Collection-error, escalation, and remediation safety tests.</w:t>
            </w:r>
          </w:p>
        </w:tc>
      </w:tr>
      <w:tr>
        <w:trPr>
          <w:cantSplit/>
        </w:trPr>
        <w:tc>
          <w:tcPr>
            <w:tcW w:type="dxa" w:w="3200"/>
            <w:tcMar>
              <w:top w:w="80" w:type="dxa"/>
              <w:start w:w="120" w:type="dxa"/>
              <w:bottom w:w="80" w:type="dxa"/>
              <w:end w:w="120" w:type="dxa"/>
            </w:tcMar>
            <w:vAlign w:val="top"/>
            <w:shd w:fill="FAFBFC"/>
          </w:tcPr>
          <w:p>
            <w:pPr>
              <w:spacing w:after="0" w:line="264" w:lineRule="auto"/>
            </w:pPr>
            <w:r>
              <w:rPr>
                <w:sz w:val="16"/>
              </w:rPr>
              <w:t>DEVOPS_HANDOFF.md</w:t>
            </w:r>
          </w:p>
        </w:tc>
        <w:tc>
          <w:tcPr>
            <w:tcW w:type="dxa" w:w="6160"/>
            <w:tcMar>
              <w:top w:w="80" w:type="dxa"/>
              <w:start w:w="120" w:type="dxa"/>
              <w:bottom w:w="80" w:type="dxa"/>
              <w:end w:w="120" w:type="dxa"/>
            </w:tcMar>
            <w:vAlign w:val="top"/>
            <w:shd w:fill="FAFBFC"/>
          </w:tcPr>
          <w:p>
            <w:pPr>
              <w:spacing w:after="0" w:line="264" w:lineRule="auto"/>
            </w:pPr>
            <w:r>
              <w:rPr>
                <w:sz w:val="16"/>
              </w:rPr>
              <w:t>Deployment handoff notes.</w:t>
            </w:r>
          </w:p>
        </w:tc>
      </w:tr>
      <w:tr>
        <w:trPr>
          <w:cantSplit/>
        </w:trPr>
        <w:tc>
          <w:tcPr>
            <w:tcW w:type="dxa" w:w="3200"/>
            <w:tcMar>
              <w:top w:w="80" w:type="dxa"/>
              <w:start w:w="120" w:type="dxa"/>
              <w:bottom w:w="80" w:type="dxa"/>
              <w:end w:w="120" w:type="dxa"/>
            </w:tcMar>
            <w:vAlign w:val="top"/>
          </w:tcPr>
          <w:p>
            <w:pPr>
              <w:spacing w:after="0" w:line="264" w:lineRule="auto"/>
            </w:pPr>
            <w:r>
              <w:rPr>
                <w:sz w:val="16"/>
              </w:rPr>
              <w:t>GOOGLE_MEET_SETUP.md</w:t>
            </w:r>
          </w:p>
        </w:tc>
        <w:tc>
          <w:tcPr>
            <w:tcW w:type="dxa" w:w="6160"/>
            <w:tcMar>
              <w:top w:w="80" w:type="dxa"/>
              <w:start w:w="120" w:type="dxa"/>
              <w:bottom w:w="80" w:type="dxa"/>
              <w:end w:w="120" w:type="dxa"/>
            </w:tcMar>
            <w:vAlign w:val="top"/>
          </w:tcPr>
          <w:p>
            <w:pPr>
              <w:spacing w:after="0" w:line="264" w:lineRule="auto"/>
            </w:pPr>
            <w:r>
              <w:rPr>
                <w:sz w:val="16"/>
              </w:rPr>
              <w:t>Google Calendar/Meet credential setup.</w:t>
            </w:r>
          </w:p>
        </w:tc>
      </w:tr>
    </w:tbl>
    <w:p>
      <w:pPr>
        <w:spacing w:after="0"/>
      </w:pPr>
    </w:p>
    <w:p>
      <w:pPr>
        <w:pStyle w:val="Heading1"/>
      </w:pPr>
      <w:r>
        <w:t>Appendix A. Configuration map</w:t>
      </w:r>
    </w:p>
    <w:tbl>
      <w:tblPr>
        <w:tblW w:type="dxa" w:w="9360"/>
        <w:jc w:val="center"/>
        <w:tblLayout w:type="fixed"/>
        <w:tblLook w:firstColumn="1" w:firstRow="1" w:lastColumn="0" w:lastRow="0" w:noHBand="0" w:noVBand="1" w:val="04A0"/>
        <w:tblInd w:w="120" w:type="dxa"/>
        <w:tblLayout w:type="fixed"/>
      </w:tblPr>
      <w:tblGrid>
        <w:gridCol w:w="1700"/>
        <w:gridCol w:w="4800"/>
        <w:gridCol w:w="2860"/>
      </w:tblGrid>
      <w:tr>
        <w:trPr>
          <w:tblHeader w:val="true"/>
          <w:cantSplit/>
        </w:trPr>
        <w:tc>
          <w:tcPr>
            <w:tcW w:type="dxa" w:w="1700"/>
            <w:tcMar>
              <w:top w:w="80" w:type="dxa"/>
              <w:start w:w="120" w:type="dxa"/>
              <w:bottom w:w="80" w:type="dxa"/>
              <w:end w:w="120" w:type="dxa"/>
            </w:tcMar>
            <w:shd w:fill="E8EEF5"/>
            <w:vAlign w:val="center"/>
          </w:tcPr>
          <w:p>
            <w:pPr>
              <w:spacing w:after="0"/>
            </w:pPr>
            <w:r>
              <w:rPr>
                <w:b/>
                <w:color w:val="0B2545"/>
                <w:sz w:val="16"/>
              </w:rPr>
              <w:t>Category</w:t>
            </w:r>
          </w:p>
        </w:tc>
        <w:tc>
          <w:tcPr>
            <w:tcW w:type="dxa" w:w="4800"/>
            <w:tcMar>
              <w:top w:w="80" w:type="dxa"/>
              <w:start w:w="120" w:type="dxa"/>
              <w:bottom w:w="80" w:type="dxa"/>
              <w:end w:w="120" w:type="dxa"/>
            </w:tcMar>
            <w:shd w:fill="E8EEF5"/>
            <w:vAlign w:val="center"/>
          </w:tcPr>
          <w:p>
            <w:pPr>
              <w:spacing w:after="0"/>
            </w:pPr>
            <w:r>
              <w:rPr>
                <w:b/>
                <w:color w:val="0B2545"/>
                <w:sz w:val="16"/>
              </w:rPr>
              <w:t>Representative settings</w:t>
            </w:r>
          </w:p>
        </w:tc>
        <w:tc>
          <w:tcPr>
            <w:tcW w:type="dxa" w:w="2860"/>
            <w:tcMar>
              <w:top w:w="80" w:type="dxa"/>
              <w:start w:w="120" w:type="dxa"/>
              <w:bottom w:w="80" w:type="dxa"/>
              <w:end w:w="120" w:type="dxa"/>
            </w:tcMar>
            <w:shd w:fill="E8EEF5"/>
            <w:vAlign w:val="center"/>
          </w:tcPr>
          <w:p>
            <w:pPr>
              <w:spacing w:after="0"/>
            </w:pPr>
            <w:r>
              <w:rPr>
                <w:b/>
                <w:color w:val="0B2545"/>
                <w:sz w:val="16"/>
              </w:rPr>
              <w:t>Purpose</w:t>
            </w:r>
          </w:p>
        </w:tc>
      </w:tr>
      <w:tr>
        <w:trPr>
          <w:cantSplit/>
        </w:trPr>
        <w:tc>
          <w:tcPr>
            <w:tcW w:type="dxa" w:w="1700"/>
            <w:tcMar>
              <w:top w:w="80" w:type="dxa"/>
              <w:start w:w="120" w:type="dxa"/>
              <w:bottom w:w="80" w:type="dxa"/>
              <w:end w:w="120" w:type="dxa"/>
            </w:tcMar>
            <w:vAlign w:val="top"/>
          </w:tcPr>
          <w:p>
            <w:pPr>
              <w:spacing w:after="0" w:line="264" w:lineRule="auto"/>
            </w:pPr>
            <w:r>
              <w:rPr>
                <w:sz w:val="16"/>
              </w:rPr>
              <w:t>Cluster</w:t>
            </w:r>
          </w:p>
        </w:tc>
        <w:tc>
          <w:tcPr>
            <w:tcW w:type="dxa" w:w="4800"/>
            <w:tcMar>
              <w:top w:w="80" w:type="dxa"/>
              <w:start w:w="120" w:type="dxa"/>
              <w:bottom w:w="80" w:type="dxa"/>
              <w:end w:w="120" w:type="dxa"/>
            </w:tcMar>
            <w:vAlign w:val="top"/>
          </w:tcPr>
          <w:p>
            <w:pPr>
              <w:spacing w:after="0" w:line="264" w:lineRule="auto"/>
            </w:pPr>
            <w:r>
              <w:rPr>
                <w:sz w:val="16"/>
              </w:rPr>
              <w:t>KUBECONFIG; CLUSTER_NAME</w:t>
            </w:r>
          </w:p>
        </w:tc>
        <w:tc>
          <w:tcPr>
            <w:tcW w:type="dxa" w:w="2860"/>
            <w:tcMar>
              <w:top w:w="80" w:type="dxa"/>
              <w:start w:w="120" w:type="dxa"/>
              <w:bottom w:w="80" w:type="dxa"/>
              <w:end w:w="120" w:type="dxa"/>
            </w:tcMar>
            <w:vAlign w:val="top"/>
          </w:tcPr>
          <w:p>
            <w:pPr>
              <w:spacing w:after="0" w:line="264" w:lineRule="auto"/>
            </w:pPr>
            <w:r>
              <w:rPr>
                <w:sz w:val="16"/>
              </w:rPr>
              <w:t>Select local credentials and identify stored runs.</w:t>
            </w:r>
          </w:p>
        </w:tc>
      </w:tr>
      <w:tr>
        <w:trPr>
          <w:cantSplit/>
        </w:trPr>
        <w:tc>
          <w:tcPr>
            <w:tcW w:type="dxa" w:w="1700"/>
            <w:tcMar>
              <w:top w:w="80" w:type="dxa"/>
              <w:start w:w="120" w:type="dxa"/>
              <w:bottom w:w="80" w:type="dxa"/>
              <w:end w:w="120" w:type="dxa"/>
            </w:tcMar>
            <w:vAlign w:val="top"/>
            <w:shd w:fill="FAFBFC"/>
          </w:tcPr>
          <w:p>
            <w:pPr>
              <w:spacing w:after="0" w:line="264" w:lineRule="auto"/>
            </w:pPr>
            <w:r>
              <w:rPr>
                <w:sz w:val="16"/>
              </w:rPr>
              <w:t>Schedule</w:t>
            </w:r>
          </w:p>
        </w:tc>
        <w:tc>
          <w:tcPr>
            <w:tcW w:type="dxa" w:w="4800"/>
            <w:tcMar>
              <w:top w:w="80" w:type="dxa"/>
              <w:start w:w="120" w:type="dxa"/>
              <w:bottom w:w="80" w:type="dxa"/>
              <w:end w:w="120" w:type="dxa"/>
            </w:tcMar>
            <w:vAlign w:val="top"/>
            <w:shd w:fill="FAFBFC"/>
          </w:tcPr>
          <w:p>
            <w:pPr>
              <w:spacing w:after="0" w:line="264" w:lineRule="auto"/>
            </w:pPr>
            <w:r>
              <w:rPr>
                <w:sz w:val="16"/>
              </w:rPr>
              <w:t>INTERVAL_MINUTES; SCHEDULER_HEALTH_FILE</w:t>
            </w:r>
          </w:p>
        </w:tc>
        <w:tc>
          <w:tcPr>
            <w:tcW w:type="dxa" w:w="2860"/>
            <w:tcMar>
              <w:top w:w="80" w:type="dxa"/>
              <w:start w:w="120" w:type="dxa"/>
              <w:bottom w:w="80" w:type="dxa"/>
              <w:end w:w="120" w:type="dxa"/>
            </w:tcMar>
            <w:vAlign w:val="top"/>
            <w:shd w:fill="FAFBFC"/>
          </w:tcPr>
          <w:p>
            <w:pPr>
              <w:spacing w:after="0" w:line="264" w:lineRule="auto"/>
            </w:pPr>
            <w:r>
              <w:rPr>
                <w:sz w:val="16"/>
              </w:rPr>
              <w:t>Cycle frequency and heartbeat path.</w:t>
            </w:r>
          </w:p>
        </w:tc>
      </w:tr>
      <w:tr>
        <w:trPr>
          <w:cantSplit/>
        </w:trPr>
        <w:tc>
          <w:tcPr>
            <w:tcW w:type="dxa" w:w="1700"/>
            <w:tcMar>
              <w:top w:w="80" w:type="dxa"/>
              <w:start w:w="120" w:type="dxa"/>
              <w:bottom w:w="80" w:type="dxa"/>
              <w:end w:w="120" w:type="dxa"/>
            </w:tcMar>
            <w:vAlign w:val="top"/>
          </w:tcPr>
          <w:p>
            <w:pPr>
              <w:spacing w:after="0" w:line="264" w:lineRule="auto"/>
            </w:pPr>
            <w:r>
              <w:rPr>
                <w:sz w:val="16"/>
              </w:rPr>
              <w:t>Database</w:t>
            </w:r>
          </w:p>
        </w:tc>
        <w:tc>
          <w:tcPr>
            <w:tcW w:type="dxa" w:w="4800"/>
            <w:tcMar>
              <w:top w:w="80" w:type="dxa"/>
              <w:start w:w="120" w:type="dxa"/>
              <w:bottom w:w="80" w:type="dxa"/>
              <w:end w:w="120" w:type="dxa"/>
            </w:tcMar>
            <w:vAlign w:val="top"/>
          </w:tcPr>
          <w:p>
            <w:pPr>
              <w:spacing w:after="0" w:line="264" w:lineRule="auto"/>
            </w:pPr>
            <w:r>
              <w:rPr>
                <w:sz w:val="16"/>
              </w:rPr>
              <w:t>DATABASE_URL and pool/health settings</w:t>
            </w:r>
          </w:p>
        </w:tc>
        <w:tc>
          <w:tcPr>
            <w:tcW w:type="dxa" w:w="2860"/>
            <w:tcMar>
              <w:top w:w="80" w:type="dxa"/>
              <w:start w:w="120" w:type="dxa"/>
              <w:bottom w:w="80" w:type="dxa"/>
              <w:end w:w="120" w:type="dxa"/>
            </w:tcMar>
            <w:vAlign w:val="top"/>
          </w:tcPr>
          <w:p>
            <w:pPr>
              <w:spacing w:after="0" w:line="264" w:lineRule="auto"/>
            </w:pPr>
            <w:r>
              <w:rPr>
                <w:sz w:val="16"/>
              </w:rPr>
              <w:t>PostgreSQL persistence and pgvector.</w:t>
            </w:r>
          </w:p>
        </w:tc>
      </w:tr>
      <w:tr>
        <w:trPr>
          <w:cantSplit/>
        </w:trPr>
        <w:tc>
          <w:tcPr>
            <w:tcW w:type="dxa" w:w="1700"/>
            <w:tcMar>
              <w:top w:w="80" w:type="dxa"/>
              <w:start w:w="120" w:type="dxa"/>
              <w:bottom w:w="80" w:type="dxa"/>
              <w:end w:w="120" w:type="dxa"/>
            </w:tcMar>
            <w:vAlign w:val="top"/>
            <w:shd w:fill="FAFBFC"/>
          </w:tcPr>
          <w:p>
            <w:pPr>
              <w:spacing w:after="0" w:line="264" w:lineRule="auto"/>
            </w:pPr>
            <w:r>
              <w:rPr>
                <w:sz w:val="16"/>
              </w:rPr>
              <w:t>LLM</w:t>
            </w:r>
          </w:p>
        </w:tc>
        <w:tc>
          <w:tcPr>
            <w:tcW w:type="dxa" w:w="4800"/>
            <w:tcMar>
              <w:top w:w="80" w:type="dxa"/>
              <w:start w:w="120" w:type="dxa"/>
              <w:bottom w:w="80" w:type="dxa"/>
              <w:end w:w="120" w:type="dxa"/>
            </w:tcMar>
            <w:vAlign w:val="top"/>
            <w:shd w:fill="FAFBFC"/>
          </w:tcPr>
          <w:p>
            <w:pPr>
              <w:spacing w:after="0" w:line="264" w:lineRule="auto"/>
            </w:pPr>
            <w:r>
              <w:rPr>
                <w:sz w:val="16"/>
              </w:rPr>
              <w:t>GROQ_API_KEY; LLM_MODEL</w:t>
            </w:r>
          </w:p>
        </w:tc>
        <w:tc>
          <w:tcPr>
            <w:tcW w:type="dxa" w:w="2860"/>
            <w:tcMar>
              <w:top w:w="80" w:type="dxa"/>
              <w:start w:w="120" w:type="dxa"/>
              <w:bottom w:w="80" w:type="dxa"/>
              <w:end w:w="120" w:type="dxa"/>
            </w:tcMar>
            <w:vAlign w:val="top"/>
            <w:shd w:fill="FAFBFC"/>
          </w:tcPr>
          <w:p>
            <w:pPr>
              <w:spacing w:after="0" w:line="264" w:lineRule="auto"/>
            </w:pPr>
            <w:r>
              <w:rPr>
                <w:sz w:val="16"/>
              </w:rPr>
              <w:t>Structured AI analysis and resolution generation.</w:t>
            </w:r>
          </w:p>
        </w:tc>
      </w:tr>
      <w:tr>
        <w:trPr>
          <w:cantSplit/>
        </w:trPr>
        <w:tc>
          <w:tcPr>
            <w:tcW w:type="dxa" w:w="1700"/>
            <w:tcMar>
              <w:top w:w="80" w:type="dxa"/>
              <w:start w:w="120" w:type="dxa"/>
              <w:bottom w:w="80" w:type="dxa"/>
              <w:end w:w="120" w:type="dxa"/>
            </w:tcMar>
            <w:vAlign w:val="top"/>
          </w:tcPr>
          <w:p>
            <w:pPr>
              <w:spacing w:after="0" w:line="264" w:lineRule="auto"/>
            </w:pPr>
            <w:r>
              <w:rPr>
                <w:sz w:val="16"/>
              </w:rPr>
              <w:t>RAG</w:t>
            </w:r>
          </w:p>
        </w:tc>
        <w:tc>
          <w:tcPr>
            <w:tcW w:type="dxa" w:w="4800"/>
            <w:tcMar>
              <w:top w:w="80" w:type="dxa"/>
              <w:start w:w="120" w:type="dxa"/>
              <w:bottom w:w="80" w:type="dxa"/>
              <w:end w:w="120" w:type="dxa"/>
            </w:tcMar>
            <w:vAlign w:val="top"/>
          </w:tcPr>
          <w:p>
            <w:pPr>
              <w:spacing w:after="0" w:line="264" w:lineRule="auto"/>
            </w:pPr>
            <w:r>
              <w:rPr>
                <w:sz w:val="16"/>
              </w:rPr>
              <w:t>embedding model, similarity threshold, vector table/schema settings</w:t>
            </w:r>
          </w:p>
        </w:tc>
        <w:tc>
          <w:tcPr>
            <w:tcW w:type="dxa" w:w="2860"/>
            <w:tcMar>
              <w:top w:w="80" w:type="dxa"/>
              <w:start w:w="120" w:type="dxa"/>
              <w:bottom w:w="80" w:type="dxa"/>
              <w:end w:w="120" w:type="dxa"/>
            </w:tcMar>
            <w:vAlign w:val="top"/>
          </w:tcPr>
          <w:p>
            <w:pPr>
              <w:spacing w:after="0" w:line="264" w:lineRule="auto"/>
            </w:pPr>
            <w:r>
              <w:rPr>
                <w:sz w:val="16"/>
              </w:rPr>
              <w:t>Historical knowledge retrieval.</w:t>
            </w:r>
          </w:p>
        </w:tc>
      </w:tr>
      <w:tr>
        <w:trPr>
          <w:cantSplit/>
        </w:trPr>
        <w:tc>
          <w:tcPr>
            <w:tcW w:type="dxa" w:w="1700"/>
            <w:tcMar>
              <w:top w:w="80" w:type="dxa"/>
              <w:start w:w="120" w:type="dxa"/>
              <w:bottom w:w="80" w:type="dxa"/>
              <w:end w:w="120" w:type="dxa"/>
            </w:tcMar>
            <w:vAlign w:val="top"/>
            <w:shd w:fill="FAFBFC"/>
          </w:tcPr>
          <w:p>
            <w:pPr>
              <w:spacing w:after="0" w:line="264" w:lineRule="auto"/>
            </w:pPr>
            <w:r>
              <w:rPr>
                <w:sz w:val="16"/>
              </w:rPr>
              <w:t>Email</w:t>
            </w:r>
          </w:p>
        </w:tc>
        <w:tc>
          <w:tcPr>
            <w:tcW w:type="dxa" w:w="4800"/>
            <w:tcMar>
              <w:top w:w="80" w:type="dxa"/>
              <w:start w:w="120" w:type="dxa"/>
              <w:bottom w:w="80" w:type="dxa"/>
              <w:end w:w="120" w:type="dxa"/>
            </w:tcMar>
            <w:vAlign w:val="top"/>
            <w:shd w:fill="FAFBFC"/>
          </w:tcPr>
          <w:p>
            <w:pPr>
              <w:spacing w:after="0" w:line="264" w:lineRule="auto"/>
            </w:pPr>
            <w:r>
              <w:rPr>
                <w:sz w:val="16"/>
              </w:rPr>
              <w:t>EMAIL_ENABLED; EMAIL_BACKEND; SMTP_* or SENDGRID_*; recipients</w:t>
            </w:r>
          </w:p>
        </w:tc>
        <w:tc>
          <w:tcPr>
            <w:tcW w:type="dxa" w:w="2860"/>
            <w:tcMar>
              <w:top w:w="80" w:type="dxa"/>
              <w:start w:w="120" w:type="dxa"/>
              <w:bottom w:w="80" w:type="dxa"/>
              <w:end w:w="120" w:type="dxa"/>
            </w:tcMar>
            <w:vAlign w:val="top"/>
            <w:shd w:fill="FAFBFC"/>
          </w:tcPr>
          <w:p>
            <w:pPr>
              <w:spacing w:after="0" w:line="264" w:lineRule="auto"/>
            </w:pPr>
            <w:r>
              <w:rPr>
                <w:sz w:val="16"/>
              </w:rPr>
              <w:t>Report and approval notification delivery.</w:t>
            </w:r>
          </w:p>
        </w:tc>
      </w:tr>
      <w:tr>
        <w:trPr>
          <w:cantSplit/>
        </w:trPr>
        <w:tc>
          <w:tcPr>
            <w:tcW w:type="dxa" w:w="1700"/>
            <w:tcMar>
              <w:top w:w="80" w:type="dxa"/>
              <w:start w:w="120" w:type="dxa"/>
              <w:bottom w:w="80" w:type="dxa"/>
              <w:end w:w="120" w:type="dxa"/>
            </w:tcMar>
            <w:vAlign w:val="top"/>
          </w:tcPr>
          <w:p>
            <w:pPr>
              <w:spacing w:after="0" w:line="264" w:lineRule="auto"/>
            </w:pPr>
            <w:r>
              <w:rPr>
                <w:sz w:val="16"/>
              </w:rPr>
              <w:t>Calendar</w:t>
            </w:r>
          </w:p>
        </w:tc>
        <w:tc>
          <w:tcPr>
            <w:tcW w:type="dxa" w:w="4800"/>
            <w:tcMar>
              <w:top w:w="80" w:type="dxa"/>
              <w:start w:w="120" w:type="dxa"/>
              <w:bottom w:w="80" w:type="dxa"/>
              <w:end w:w="120" w:type="dxa"/>
            </w:tcMar>
            <w:vAlign w:val="top"/>
          </w:tcPr>
          <w:p>
            <w:pPr>
              <w:spacing w:after="0" w:line="264" w:lineRule="auto"/>
            </w:pPr>
            <w:r>
              <w:rPr>
                <w:sz w:val="16"/>
              </w:rPr>
              <w:t>ESCALATION_ENABLED; components; consecutive cycles; owners; Google OAuth fields</w:t>
            </w:r>
          </w:p>
        </w:tc>
        <w:tc>
          <w:tcPr>
            <w:tcW w:type="dxa" w:w="2860"/>
            <w:tcMar>
              <w:top w:w="80" w:type="dxa"/>
              <w:start w:w="120" w:type="dxa"/>
              <w:bottom w:w="80" w:type="dxa"/>
              <w:end w:w="120" w:type="dxa"/>
            </w:tcMar>
            <w:vAlign w:val="top"/>
          </w:tcPr>
          <w:p>
            <w:pPr>
              <w:spacing w:after="0" w:line="264" w:lineRule="auto"/>
            </w:pPr>
            <w:r>
              <w:rPr>
                <w:sz w:val="16"/>
              </w:rPr>
              <w:t>Persistent-critical Google Meet escalation.</w:t>
            </w:r>
          </w:p>
        </w:tc>
      </w:tr>
      <w:tr>
        <w:trPr>
          <w:cantSplit/>
        </w:trPr>
        <w:tc>
          <w:tcPr>
            <w:tcW w:type="dxa" w:w="1700"/>
            <w:tcMar>
              <w:top w:w="80" w:type="dxa"/>
              <w:start w:w="120" w:type="dxa"/>
              <w:bottom w:w="80" w:type="dxa"/>
              <w:end w:w="120" w:type="dxa"/>
            </w:tcMar>
            <w:vAlign w:val="top"/>
            <w:shd w:fill="FAFBFC"/>
          </w:tcPr>
          <w:p>
            <w:pPr>
              <w:spacing w:after="0" w:line="264" w:lineRule="auto"/>
            </w:pPr>
            <w:r>
              <w:rPr>
                <w:sz w:val="16"/>
              </w:rPr>
              <w:t>HITL</w:t>
            </w:r>
          </w:p>
        </w:tc>
        <w:tc>
          <w:tcPr>
            <w:tcW w:type="dxa" w:w="4800"/>
            <w:tcMar>
              <w:top w:w="80" w:type="dxa"/>
              <w:start w:w="120" w:type="dxa"/>
              <w:bottom w:w="80" w:type="dxa"/>
              <w:end w:w="120" w:type="dxa"/>
            </w:tcMar>
            <w:vAlign w:val="top"/>
            <w:shd w:fill="FAFBFC"/>
          </w:tcPr>
          <w:p>
            <w:pPr>
              <w:spacing w:after="0" w:line="264" w:lineRule="auto"/>
            </w:pPr>
            <w:r>
              <w:rPr>
                <w:sz w:val="16"/>
              </w:rPr>
              <w:t>HITL_ENABLED; HITL_EXECUTION_ENABLED; target allowlists; approver; dashboard URL; poll/timeout; approval secret</w:t>
            </w:r>
          </w:p>
        </w:tc>
        <w:tc>
          <w:tcPr>
            <w:tcW w:type="dxa" w:w="2860"/>
            <w:tcMar>
              <w:top w:w="80" w:type="dxa"/>
              <w:start w:w="120" w:type="dxa"/>
              <w:bottom w:w="80" w:type="dxa"/>
              <w:end w:w="120" w:type="dxa"/>
            </w:tcMar>
            <w:vAlign w:val="top"/>
            <w:shd w:fill="FAFBFC"/>
          </w:tcPr>
          <w:p>
            <w:pPr>
              <w:spacing w:after="0" w:line="264" w:lineRule="auto"/>
            </w:pPr>
            <w:r>
              <w:rPr>
                <w:sz w:val="16"/>
              </w:rPr>
              <w:t>Proposal, decision, and safe execution controls.</w:t>
            </w:r>
          </w:p>
        </w:tc>
      </w:tr>
      <w:tr>
        <w:trPr>
          <w:cantSplit/>
        </w:trPr>
        <w:tc>
          <w:tcPr>
            <w:tcW w:type="dxa" w:w="1700"/>
            <w:tcMar>
              <w:top w:w="80" w:type="dxa"/>
              <w:start w:w="120" w:type="dxa"/>
              <w:bottom w:w="80" w:type="dxa"/>
              <w:end w:w="120" w:type="dxa"/>
            </w:tcMar>
            <w:vAlign w:val="top"/>
          </w:tcPr>
          <w:p>
            <w:pPr>
              <w:spacing w:after="0" w:line="264" w:lineRule="auto"/>
            </w:pPr>
            <w:r>
              <w:rPr>
                <w:sz w:val="16"/>
              </w:rPr>
              <w:t>Dashboard</w:t>
            </w:r>
          </w:p>
        </w:tc>
        <w:tc>
          <w:tcPr>
            <w:tcW w:type="dxa" w:w="4800"/>
            <w:tcMar>
              <w:top w:w="80" w:type="dxa"/>
              <w:start w:w="120" w:type="dxa"/>
              <w:bottom w:w="80" w:type="dxa"/>
              <w:end w:w="120" w:type="dxa"/>
            </w:tcMar>
            <w:vAlign w:val="top"/>
          </w:tcPr>
          <w:p>
            <w:pPr>
              <w:spacing w:after="0" w:line="264" w:lineRule="auto"/>
            </w:pPr>
            <w:r>
              <w:rPr>
                <w:sz w:val="16"/>
              </w:rPr>
              <w:t>host/port and database access</w:t>
            </w:r>
          </w:p>
        </w:tc>
        <w:tc>
          <w:tcPr>
            <w:tcW w:type="dxa" w:w="2860"/>
            <w:tcMar>
              <w:top w:w="80" w:type="dxa"/>
              <w:start w:w="120" w:type="dxa"/>
              <w:bottom w:w="80" w:type="dxa"/>
              <w:end w:w="120" w:type="dxa"/>
            </w:tcMar>
            <w:vAlign w:val="top"/>
          </w:tcPr>
          <w:p>
            <w:pPr>
              <w:spacing w:after="0" w:line="264" w:lineRule="auto"/>
            </w:pPr>
            <w:r>
              <w:rPr>
                <w:sz w:val="16"/>
              </w:rPr>
              <w:t>Browser UI exposure and refresh behavior.</w:t>
            </w:r>
          </w:p>
        </w:tc>
      </w:tr>
      <w:tr>
        <w:trPr>
          <w:cantSplit/>
        </w:trPr>
        <w:tc>
          <w:tcPr>
            <w:tcW w:type="dxa" w:w="1700"/>
            <w:tcMar>
              <w:top w:w="80" w:type="dxa"/>
              <w:start w:w="120" w:type="dxa"/>
              <w:bottom w:w="80" w:type="dxa"/>
              <w:end w:w="120" w:type="dxa"/>
            </w:tcMar>
            <w:vAlign w:val="top"/>
            <w:shd w:fill="FAFBFC"/>
          </w:tcPr>
          <w:p>
            <w:pPr>
              <w:spacing w:after="0" w:line="264" w:lineRule="auto"/>
            </w:pPr>
            <w:r>
              <w:rPr>
                <w:sz w:val="16"/>
              </w:rPr>
              <w:t>Logging</w:t>
            </w:r>
          </w:p>
        </w:tc>
        <w:tc>
          <w:tcPr>
            <w:tcW w:type="dxa" w:w="4800"/>
            <w:tcMar>
              <w:top w:w="80" w:type="dxa"/>
              <w:start w:w="120" w:type="dxa"/>
              <w:bottom w:w="80" w:type="dxa"/>
              <w:end w:w="120" w:type="dxa"/>
            </w:tcMar>
            <w:vAlign w:val="top"/>
            <w:shd w:fill="FAFBFC"/>
          </w:tcPr>
          <w:p>
            <w:pPr>
              <w:spacing w:after="0" w:line="264" w:lineRule="auto"/>
            </w:pPr>
            <w:r>
              <w:rPr>
                <w:sz w:val="16"/>
              </w:rPr>
              <w:t>environment/log-level/format settings</w:t>
            </w:r>
          </w:p>
        </w:tc>
        <w:tc>
          <w:tcPr>
            <w:tcW w:type="dxa" w:w="2860"/>
            <w:tcMar>
              <w:top w:w="80" w:type="dxa"/>
              <w:start w:w="120" w:type="dxa"/>
              <w:bottom w:w="80" w:type="dxa"/>
              <w:end w:w="120" w:type="dxa"/>
            </w:tcMar>
            <w:vAlign w:val="top"/>
            <w:shd w:fill="FAFBFC"/>
          </w:tcPr>
          <w:p>
            <w:pPr>
              <w:spacing w:after="0" w:line="264" w:lineRule="auto"/>
            </w:pPr>
            <w:r>
              <w:rPr>
                <w:sz w:val="16"/>
              </w:rPr>
              <w:t>Readable local or structured production logs.</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tcMar>
              <w:top w:w="130" w:type="dxa"/>
              <w:start w:w="180" w:type="dxa"/>
              <w:bottom w:w="130" w:type="dxa"/>
              <w:end w:w="180" w:type="dxa"/>
            </w:tcMar>
            <w:shd w:fill="FCEBEC"/>
          </w:tcPr>
          <w:p>
            <w:pPr>
              <w:spacing w:after="60"/>
            </w:pPr>
            <w:r>
              <w:rPr>
                <w:b/>
                <w:color w:val="9B1C1C"/>
              </w:rPr>
              <w:t>Configuration rule</w:t>
            </w:r>
          </w:p>
          <w:p>
            <w:pPr>
              <w:spacing w:after="0" w:line="276" w:lineRule="auto"/>
            </w:pPr>
            <w:r>
              <w:t>Names belong in documentation; values belong in the environment or Secret. Validate configuration at startup and fail closed when a safety dependency is missing.</w:t>
            </w:r>
          </w:p>
        </w:tc>
      </w:tr>
    </w:tbl>
    <w:p>
      <w:pPr>
        <w:spacing w:after="0"/>
      </w:pPr>
    </w:p>
    <w:p>
      <w:pPr>
        <w:pStyle w:val="Heading2"/>
      </w:pPr>
      <w:r>
        <w:t>Major technologies</w:t>
      </w:r>
    </w:p>
    <w:tbl>
      <w:tblPr>
        <w:tblW w:type="dxa" w:w="9360"/>
        <w:jc w:val="center"/>
        <w:tblLayout w:type="fixed"/>
        <w:tblLook w:firstColumn="1" w:firstRow="1" w:lastColumn="0" w:lastRow="0" w:noHBand="0" w:noVBand="1" w:val="04A0"/>
        <w:tblInd w:w="120" w:type="dxa"/>
        <w:tblLayout w:type="fixed"/>
      </w:tblPr>
      <w:tblGrid>
        <w:gridCol w:w="2600"/>
        <w:gridCol w:w="6760"/>
      </w:tblGrid>
      <w:tr>
        <w:trPr>
          <w:tblHeader w:val="true"/>
          <w:cantSplit/>
        </w:trPr>
        <w:tc>
          <w:tcPr>
            <w:tcW w:type="dxa" w:w="2600"/>
            <w:tcMar>
              <w:top w:w="80" w:type="dxa"/>
              <w:start w:w="120" w:type="dxa"/>
              <w:bottom w:w="80" w:type="dxa"/>
              <w:end w:w="120" w:type="dxa"/>
            </w:tcMar>
            <w:shd w:fill="E8EEF5"/>
            <w:vAlign w:val="center"/>
          </w:tcPr>
          <w:p>
            <w:pPr>
              <w:spacing w:after="0"/>
            </w:pPr>
            <w:r>
              <w:rPr>
                <w:b/>
                <w:color w:val="0B2545"/>
                <w:sz w:val="18"/>
              </w:rPr>
              <w:t>Domain</w:t>
            </w:r>
          </w:p>
        </w:tc>
        <w:tc>
          <w:tcPr>
            <w:tcW w:type="dxa" w:w="6760"/>
            <w:tcMar>
              <w:top w:w="80" w:type="dxa"/>
              <w:start w:w="120" w:type="dxa"/>
              <w:bottom w:w="80" w:type="dxa"/>
              <w:end w:w="120" w:type="dxa"/>
            </w:tcMar>
            <w:shd w:fill="E8EEF5"/>
            <w:vAlign w:val="center"/>
          </w:tcPr>
          <w:p>
            <w:pPr>
              <w:spacing w:after="0"/>
            </w:pPr>
            <w:r>
              <w:rPr>
                <w:b/>
                <w:color w:val="0B2545"/>
                <w:sz w:val="18"/>
              </w:rPr>
              <w:t>Technology</w:t>
            </w:r>
          </w:p>
        </w:tc>
      </w:tr>
      <w:tr>
        <w:trPr>
          <w:cantSplit/>
        </w:trPr>
        <w:tc>
          <w:tcPr>
            <w:tcW w:type="dxa" w:w="2600"/>
            <w:tcMar>
              <w:top w:w="80" w:type="dxa"/>
              <w:start w:w="120" w:type="dxa"/>
              <w:bottom w:w="80" w:type="dxa"/>
              <w:end w:w="120" w:type="dxa"/>
            </w:tcMar>
            <w:vAlign w:val="top"/>
          </w:tcPr>
          <w:p>
            <w:pPr>
              <w:spacing w:after="0" w:line="264" w:lineRule="auto"/>
            </w:pPr>
            <w:r>
              <w:rPr>
                <w:sz w:val="18"/>
              </w:rPr>
              <w:t>Language/runtime</w:t>
            </w:r>
          </w:p>
        </w:tc>
        <w:tc>
          <w:tcPr>
            <w:tcW w:type="dxa" w:w="6760"/>
            <w:tcMar>
              <w:top w:w="80" w:type="dxa"/>
              <w:start w:w="120" w:type="dxa"/>
              <w:bottom w:w="80" w:type="dxa"/>
              <w:end w:w="120" w:type="dxa"/>
            </w:tcMar>
            <w:vAlign w:val="top"/>
          </w:tcPr>
          <w:p>
            <w:pPr>
              <w:spacing w:after="0" w:line="264" w:lineRule="auto"/>
            </w:pPr>
            <w:r>
              <w:rPr>
                <w:sz w:val="18"/>
              </w:rPr>
              <w:t>Python 3.12</w:t>
            </w:r>
          </w:p>
        </w:tc>
      </w:tr>
      <w:tr>
        <w:trPr>
          <w:cantSplit/>
        </w:trPr>
        <w:tc>
          <w:tcPr>
            <w:tcW w:type="dxa" w:w="2600"/>
            <w:tcMar>
              <w:top w:w="80" w:type="dxa"/>
              <w:start w:w="120" w:type="dxa"/>
              <w:bottom w:w="80" w:type="dxa"/>
              <w:end w:w="120" w:type="dxa"/>
            </w:tcMar>
            <w:vAlign w:val="top"/>
            <w:shd w:fill="FAFBFC"/>
          </w:tcPr>
          <w:p>
            <w:pPr>
              <w:spacing w:after="0" w:line="264" w:lineRule="auto"/>
            </w:pPr>
            <w:r>
              <w:rPr>
                <w:sz w:val="18"/>
              </w:rPr>
              <w:t>Agent orchestration</w:t>
            </w:r>
          </w:p>
        </w:tc>
        <w:tc>
          <w:tcPr>
            <w:tcW w:type="dxa" w:w="6760"/>
            <w:tcMar>
              <w:top w:w="80" w:type="dxa"/>
              <w:start w:w="120" w:type="dxa"/>
              <w:bottom w:w="80" w:type="dxa"/>
              <w:end w:w="120" w:type="dxa"/>
            </w:tcMar>
            <w:vAlign w:val="top"/>
            <w:shd w:fill="FAFBFC"/>
          </w:tcPr>
          <w:p>
            <w:pPr>
              <w:spacing w:after="0" w:line="264" w:lineRule="auto"/>
            </w:pPr>
            <w:r>
              <w:rPr>
                <w:sz w:val="18"/>
              </w:rPr>
              <w:t>LangGraph 0.2.53; LangChain 0.3.13; langchain-core 0.3.29</w:t>
            </w:r>
          </w:p>
        </w:tc>
      </w:tr>
      <w:tr>
        <w:trPr>
          <w:cantSplit/>
        </w:trPr>
        <w:tc>
          <w:tcPr>
            <w:tcW w:type="dxa" w:w="2600"/>
            <w:tcMar>
              <w:top w:w="80" w:type="dxa"/>
              <w:start w:w="120" w:type="dxa"/>
              <w:bottom w:w="80" w:type="dxa"/>
              <w:end w:w="120" w:type="dxa"/>
            </w:tcMar>
            <w:vAlign w:val="top"/>
          </w:tcPr>
          <w:p>
            <w:pPr>
              <w:spacing w:after="0" w:line="264" w:lineRule="auto"/>
            </w:pPr>
            <w:r>
              <w:rPr>
                <w:sz w:val="18"/>
              </w:rPr>
              <w:t>LLM</w:t>
            </w:r>
          </w:p>
        </w:tc>
        <w:tc>
          <w:tcPr>
            <w:tcW w:type="dxa" w:w="6760"/>
            <w:tcMar>
              <w:top w:w="80" w:type="dxa"/>
              <w:start w:w="120" w:type="dxa"/>
              <w:bottom w:w="80" w:type="dxa"/>
              <w:end w:w="120" w:type="dxa"/>
            </w:tcMar>
            <w:vAlign w:val="top"/>
          </w:tcPr>
          <w:p>
            <w:pPr>
              <w:spacing w:after="0" w:line="264" w:lineRule="auto"/>
            </w:pPr>
            <w:r>
              <w:rPr>
                <w:sz w:val="18"/>
              </w:rPr>
              <w:t>langchain-groq 0.2.2; configured Groq-hosted model</w:t>
            </w:r>
          </w:p>
        </w:tc>
      </w:tr>
      <w:tr>
        <w:trPr>
          <w:cantSplit/>
        </w:trPr>
        <w:tc>
          <w:tcPr>
            <w:tcW w:type="dxa" w:w="2600"/>
            <w:tcMar>
              <w:top w:w="80" w:type="dxa"/>
              <w:start w:w="120" w:type="dxa"/>
              <w:bottom w:w="80" w:type="dxa"/>
              <w:end w:w="120" w:type="dxa"/>
            </w:tcMar>
            <w:vAlign w:val="top"/>
            <w:shd w:fill="FAFBFC"/>
          </w:tcPr>
          <w:p>
            <w:pPr>
              <w:spacing w:after="0" w:line="264" w:lineRule="auto"/>
            </w:pPr>
            <w:r>
              <w:rPr>
                <w:sz w:val="18"/>
              </w:rPr>
              <w:t>RAG</w:t>
            </w:r>
          </w:p>
        </w:tc>
        <w:tc>
          <w:tcPr>
            <w:tcW w:type="dxa" w:w="6760"/>
            <w:tcMar>
              <w:top w:w="80" w:type="dxa"/>
              <w:start w:w="120" w:type="dxa"/>
              <w:bottom w:w="80" w:type="dxa"/>
              <w:end w:w="120" w:type="dxa"/>
            </w:tcMar>
            <w:vAlign w:val="top"/>
            <w:shd w:fill="FAFBFC"/>
          </w:tcPr>
          <w:p>
            <w:pPr>
              <w:spacing w:after="0" w:line="264" w:lineRule="auto"/>
            </w:pPr>
            <w:r>
              <w:rPr>
                <w:sz w:val="18"/>
              </w:rPr>
              <w:t>LlamaIndex core 0.12.42; pgvector store 0.3.2; HuggingFace embeddings 0.4.0</w:t>
            </w:r>
          </w:p>
        </w:tc>
      </w:tr>
      <w:tr>
        <w:trPr>
          <w:cantSplit/>
        </w:trPr>
        <w:tc>
          <w:tcPr>
            <w:tcW w:type="dxa" w:w="2600"/>
            <w:tcMar>
              <w:top w:w="80" w:type="dxa"/>
              <w:start w:w="120" w:type="dxa"/>
              <w:bottom w:w="80" w:type="dxa"/>
              <w:end w:w="120" w:type="dxa"/>
            </w:tcMar>
            <w:vAlign w:val="top"/>
          </w:tcPr>
          <w:p>
            <w:pPr>
              <w:spacing w:after="0" w:line="264" w:lineRule="auto"/>
            </w:pPr>
            <w:r>
              <w:rPr>
                <w:sz w:val="18"/>
              </w:rPr>
              <w:t>Embeddings</w:t>
            </w:r>
          </w:p>
        </w:tc>
        <w:tc>
          <w:tcPr>
            <w:tcW w:type="dxa" w:w="6760"/>
            <w:tcMar>
              <w:top w:w="80" w:type="dxa"/>
              <w:start w:w="120" w:type="dxa"/>
              <w:bottom w:w="80" w:type="dxa"/>
              <w:end w:w="120" w:type="dxa"/>
            </w:tcMar>
            <w:vAlign w:val="top"/>
          </w:tcPr>
          <w:p>
            <w:pPr>
              <w:spacing w:after="0" w:line="264" w:lineRule="auto"/>
            </w:pPr>
            <w:r>
              <w:rPr>
                <w:sz w:val="18"/>
              </w:rPr>
              <w:t>BAAI/bge-small-en-v1.5; 384 dimensions; torch CPU</w:t>
            </w:r>
          </w:p>
        </w:tc>
      </w:tr>
      <w:tr>
        <w:trPr>
          <w:cantSplit/>
        </w:trPr>
        <w:tc>
          <w:tcPr>
            <w:tcW w:type="dxa" w:w="2600"/>
            <w:tcMar>
              <w:top w:w="80" w:type="dxa"/>
              <w:start w:w="120" w:type="dxa"/>
              <w:bottom w:w="80" w:type="dxa"/>
              <w:end w:w="120" w:type="dxa"/>
            </w:tcMar>
            <w:vAlign w:val="top"/>
            <w:shd w:fill="FAFBFC"/>
          </w:tcPr>
          <w:p>
            <w:pPr>
              <w:spacing w:after="0" w:line="264" w:lineRule="auto"/>
            </w:pPr>
            <w:r>
              <w:rPr>
                <w:sz w:val="18"/>
              </w:rPr>
              <w:t>Cluster API</w:t>
            </w:r>
          </w:p>
        </w:tc>
        <w:tc>
          <w:tcPr>
            <w:tcW w:type="dxa" w:w="6760"/>
            <w:tcMar>
              <w:top w:w="80" w:type="dxa"/>
              <w:start w:w="120" w:type="dxa"/>
              <w:bottom w:w="80" w:type="dxa"/>
              <w:end w:w="120" w:type="dxa"/>
            </w:tcMar>
            <w:vAlign w:val="top"/>
            <w:shd w:fill="FAFBFC"/>
          </w:tcPr>
          <w:p>
            <w:pPr>
              <w:spacing w:after="0" w:line="264" w:lineRule="auto"/>
            </w:pPr>
            <w:r>
              <w:rPr>
                <w:sz w:val="18"/>
              </w:rPr>
              <w:t>kubernetes Python client 31.0.0</w:t>
            </w:r>
          </w:p>
        </w:tc>
      </w:tr>
      <w:tr>
        <w:trPr>
          <w:cantSplit/>
        </w:trPr>
        <w:tc>
          <w:tcPr>
            <w:tcW w:type="dxa" w:w="2600"/>
            <w:tcMar>
              <w:top w:w="80" w:type="dxa"/>
              <w:start w:w="120" w:type="dxa"/>
              <w:bottom w:w="80" w:type="dxa"/>
              <w:end w:w="120" w:type="dxa"/>
            </w:tcMar>
            <w:vAlign w:val="top"/>
          </w:tcPr>
          <w:p>
            <w:pPr>
              <w:spacing w:after="0" w:line="264" w:lineRule="auto"/>
            </w:pPr>
            <w:r>
              <w:rPr>
                <w:sz w:val="18"/>
              </w:rPr>
              <w:t>Database</w:t>
            </w:r>
          </w:p>
        </w:tc>
        <w:tc>
          <w:tcPr>
            <w:tcW w:type="dxa" w:w="6760"/>
            <w:tcMar>
              <w:top w:w="80" w:type="dxa"/>
              <w:start w:w="120" w:type="dxa"/>
              <w:bottom w:w="80" w:type="dxa"/>
              <w:end w:w="120" w:type="dxa"/>
            </w:tcMar>
            <w:vAlign w:val="top"/>
          </w:tcPr>
          <w:p>
            <w:pPr>
              <w:spacing w:after="0" w:line="264" w:lineRule="auto"/>
            </w:pPr>
            <w:r>
              <w:rPr>
                <w:sz w:val="18"/>
              </w:rPr>
              <w:t>PostgreSQL; pgvector; SQLAlchemy 2.0.36; psycopg2-binary 2.9.10; Alembic 1.14.0</w:t>
            </w:r>
          </w:p>
        </w:tc>
      </w:tr>
      <w:tr>
        <w:trPr>
          <w:cantSplit/>
        </w:trPr>
        <w:tc>
          <w:tcPr>
            <w:tcW w:type="dxa" w:w="2600"/>
            <w:tcMar>
              <w:top w:w="80" w:type="dxa"/>
              <w:start w:w="120" w:type="dxa"/>
              <w:bottom w:w="80" w:type="dxa"/>
              <w:end w:w="120" w:type="dxa"/>
            </w:tcMar>
            <w:vAlign w:val="top"/>
            <w:shd w:fill="FAFBFC"/>
          </w:tcPr>
          <w:p>
            <w:pPr>
              <w:spacing w:after="0" w:line="264" w:lineRule="auto"/>
            </w:pPr>
            <w:r>
              <w:rPr>
                <w:sz w:val="18"/>
              </w:rPr>
              <w:t>Scheduling/config</w:t>
            </w:r>
          </w:p>
        </w:tc>
        <w:tc>
          <w:tcPr>
            <w:tcW w:type="dxa" w:w="6760"/>
            <w:tcMar>
              <w:top w:w="80" w:type="dxa"/>
              <w:start w:w="120" w:type="dxa"/>
              <w:bottom w:w="80" w:type="dxa"/>
              <w:end w:w="120" w:type="dxa"/>
            </w:tcMar>
            <w:vAlign w:val="top"/>
            <w:shd w:fill="FAFBFC"/>
          </w:tcPr>
          <w:p>
            <w:pPr>
              <w:spacing w:after="0" w:line="264" w:lineRule="auto"/>
            </w:pPr>
            <w:r>
              <w:rPr>
                <w:sz w:val="18"/>
              </w:rPr>
              <w:t>APScheduler 3.10.4; Pydantic/settings; python-dotenv</w:t>
            </w:r>
          </w:p>
        </w:tc>
      </w:tr>
      <w:tr>
        <w:trPr>
          <w:cantSplit/>
        </w:trPr>
        <w:tc>
          <w:tcPr>
            <w:tcW w:type="dxa" w:w="2600"/>
            <w:tcMar>
              <w:top w:w="80" w:type="dxa"/>
              <w:start w:w="120" w:type="dxa"/>
              <w:bottom w:w="80" w:type="dxa"/>
              <w:end w:w="120" w:type="dxa"/>
            </w:tcMar>
            <w:vAlign w:val="top"/>
          </w:tcPr>
          <w:p>
            <w:pPr>
              <w:spacing w:after="0" w:line="264" w:lineRule="auto"/>
            </w:pPr>
            <w:r>
              <w:rPr>
                <w:sz w:val="18"/>
              </w:rPr>
              <w:t>UI/API</w:t>
            </w:r>
          </w:p>
        </w:tc>
        <w:tc>
          <w:tcPr>
            <w:tcW w:type="dxa" w:w="6760"/>
            <w:tcMar>
              <w:top w:w="80" w:type="dxa"/>
              <w:start w:w="120" w:type="dxa"/>
              <w:bottom w:w="80" w:type="dxa"/>
              <w:end w:w="120" w:type="dxa"/>
            </w:tcMar>
            <w:vAlign w:val="top"/>
          </w:tcPr>
          <w:p>
            <w:pPr>
              <w:spacing w:after="0" w:line="264" w:lineRule="auto"/>
            </w:pPr>
            <w:r>
              <w:rPr>
                <w:sz w:val="18"/>
              </w:rPr>
              <w:t>Streamlit 1.48.1; FastAPI; Uvicorn; Jinja2</w:t>
            </w:r>
          </w:p>
        </w:tc>
      </w:tr>
      <w:tr>
        <w:trPr>
          <w:cantSplit/>
        </w:trPr>
        <w:tc>
          <w:tcPr>
            <w:tcW w:type="dxa" w:w="2600"/>
            <w:tcMar>
              <w:top w:w="80" w:type="dxa"/>
              <w:start w:w="120" w:type="dxa"/>
              <w:bottom w:w="80" w:type="dxa"/>
              <w:end w:w="120" w:type="dxa"/>
            </w:tcMar>
            <w:vAlign w:val="top"/>
            <w:shd w:fill="FAFBFC"/>
          </w:tcPr>
          <w:p>
            <w:pPr>
              <w:spacing w:after="0" w:line="264" w:lineRule="auto"/>
            </w:pPr>
            <w:r>
              <w:rPr>
                <w:sz w:val="18"/>
              </w:rPr>
              <w:t>Notifications</w:t>
            </w:r>
          </w:p>
        </w:tc>
        <w:tc>
          <w:tcPr>
            <w:tcW w:type="dxa" w:w="6760"/>
            <w:tcMar>
              <w:top w:w="80" w:type="dxa"/>
              <w:start w:w="120" w:type="dxa"/>
              <w:bottom w:w="80" w:type="dxa"/>
              <w:end w:w="120" w:type="dxa"/>
            </w:tcMar>
            <w:vAlign w:val="top"/>
            <w:shd w:fill="FAFBFC"/>
          </w:tcPr>
          <w:p>
            <w:pPr>
              <w:spacing w:after="0" w:line="264" w:lineRule="auto"/>
            </w:pPr>
            <w:r>
              <w:rPr>
                <w:sz w:val="18"/>
              </w:rPr>
              <w:t>SMTP; SendGrid; Google Auth/OAuth/API Client</w:t>
            </w:r>
          </w:p>
        </w:tc>
      </w:tr>
      <w:tr>
        <w:trPr>
          <w:cantSplit/>
        </w:trPr>
        <w:tc>
          <w:tcPr>
            <w:tcW w:type="dxa" w:w="2600"/>
            <w:tcMar>
              <w:top w:w="80" w:type="dxa"/>
              <w:start w:w="120" w:type="dxa"/>
              <w:bottom w:w="80" w:type="dxa"/>
              <w:end w:w="120" w:type="dxa"/>
            </w:tcMar>
            <w:vAlign w:val="top"/>
          </w:tcPr>
          <w:p>
            <w:pPr>
              <w:spacing w:after="0" w:line="264" w:lineRule="auto"/>
            </w:pPr>
            <w:r>
              <w:rPr>
                <w:sz w:val="18"/>
              </w:rPr>
              <w:t>Resilience/logging</w:t>
            </w:r>
          </w:p>
        </w:tc>
        <w:tc>
          <w:tcPr>
            <w:tcW w:type="dxa" w:w="6760"/>
            <w:tcMar>
              <w:top w:w="80" w:type="dxa"/>
              <w:start w:w="120" w:type="dxa"/>
              <w:bottom w:w="80" w:type="dxa"/>
              <w:end w:w="120" w:type="dxa"/>
            </w:tcMar>
            <w:vAlign w:val="top"/>
          </w:tcPr>
          <w:p>
            <w:pPr>
              <w:spacing w:after="0" w:line="264" w:lineRule="auto"/>
            </w:pPr>
            <w:r>
              <w:rPr>
                <w:sz w:val="18"/>
              </w:rPr>
              <w:t>Tenacity; HTTPX; structlog; cryptography</w:t>
            </w:r>
          </w:p>
        </w:tc>
      </w:tr>
      <w:tr>
        <w:trPr>
          <w:cantSplit/>
        </w:trPr>
        <w:tc>
          <w:tcPr>
            <w:tcW w:type="dxa" w:w="2600"/>
            <w:tcMar>
              <w:top w:w="80" w:type="dxa"/>
              <w:start w:w="120" w:type="dxa"/>
              <w:bottom w:w="80" w:type="dxa"/>
              <w:end w:w="120" w:type="dxa"/>
            </w:tcMar>
            <w:vAlign w:val="top"/>
            <w:shd w:fill="FAFBFC"/>
          </w:tcPr>
          <w:p>
            <w:pPr>
              <w:spacing w:after="0" w:line="264" w:lineRule="auto"/>
            </w:pPr>
            <w:r>
              <w:rPr>
                <w:sz w:val="18"/>
              </w:rPr>
              <w:t>Platform</w:t>
            </w:r>
          </w:p>
        </w:tc>
        <w:tc>
          <w:tcPr>
            <w:tcW w:type="dxa" w:w="6760"/>
            <w:tcMar>
              <w:top w:w="80" w:type="dxa"/>
              <w:start w:w="120" w:type="dxa"/>
              <w:bottom w:w="80" w:type="dxa"/>
              <w:end w:w="120" w:type="dxa"/>
            </w:tcMar>
            <w:vAlign w:val="top"/>
            <w:shd w:fill="FAFBFC"/>
          </w:tcPr>
          <w:p>
            <w:pPr>
              <w:spacing w:after="0" w:line="264" w:lineRule="auto"/>
            </w:pPr>
            <w:r>
              <w:rPr>
                <w:sz w:val="18"/>
              </w:rPr>
              <w:t>Docker Compose; Kubernetes; OpenShift; Kustomize; Route/RBAC</w:t>
            </w:r>
          </w:p>
        </w:tc>
      </w:tr>
    </w:tbl>
    <w:p>
      <w:pPr>
        <w:spacing w:after="0"/>
      </w:pPr>
    </w:p>
    <w:p>
      <w:pPr>
        <w:pStyle w:val="Heading1"/>
      </w:pPr>
      <w:r>
        <w:t>Appendix B. Glossary and interview narrative</w:t>
      </w:r>
    </w:p>
    <w:tbl>
      <w:tblPr>
        <w:tblW w:type="dxa" w:w="9360"/>
        <w:jc w:val="center"/>
        <w:tblLayout w:type="fixed"/>
        <w:tblLook w:firstColumn="1" w:firstRow="1" w:lastColumn="0" w:lastRow="0" w:noHBand="0" w:noVBand="1" w:val="04A0"/>
        <w:tblInd w:w="120" w:type="dxa"/>
        <w:tblLayout w:type="fixed"/>
      </w:tblPr>
      <w:tblGrid>
        <w:gridCol w:w="1800"/>
        <w:gridCol w:w="7560"/>
      </w:tblGrid>
      <w:tr>
        <w:trPr>
          <w:tblHeader w:val="true"/>
          <w:cantSplit/>
        </w:trPr>
        <w:tc>
          <w:tcPr>
            <w:tcW w:type="dxa" w:w="1800"/>
            <w:tcMar>
              <w:top w:w="80" w:type="dxa"/>
              <w:start w:w="120" w:type="dxa"/>
              <w:bottom w:w="80" w:type="dxa"/>
              <w:end w:w="120" w:type="dxa"/>
            </w:tcMar>
            <w:shd w:fill="E8EEF5"/>
            <w:vAlign w:val="center"/>
          </w:tcPr>
          <w:p>
            <w:pPr>
              <w:spacing w:after="0"/>
            </w:pPr>
            <w:r>
              <w:rPr>
                <w:b/>
                <w:color w:val="0B2545"/>
                <w:sz w:val="18"/>
              </w:rPr>
              <w:t>Term</w:t>
            </w:r>
          </w:p>
        </w:tc>
        <w:tc>
          <w:tcPr>
            <w:tcW w:type="dxa" w:w="7560"/>
            <w:tcMar>
              <w:top w:w="80" w:type="dxa"/>
              <w:start w:w="120" w:type="dxa"/>
              <w:bottom w:w="80" w:type="dxa"/>
              <w:end w:w="120" w:type="dxa"/>
            </w:tcMar>
            <w:shd w:fill="E8EEF5"/>
            <w:vAlign w:val="center"/>
          </w:tcPr>
          <w:p>
            <w:pPr>
              <w:spacing w:after="0"/>
            </w:pPr>
            <w:r>
              <w:rPr>
                <w:b/>
                <w:color w:val="0B2545"/>
                <w:sz w:val="18"/>
              </w:rPr>
              <w:t>Plain-language explanation</w:t>
            </w:r>
          </w:p>
        </w:tc>
      </w:tr>
      <w:tr>
        <w:trPr>
          <w:cantSplit/>
        </w:trPr>
        <w:tc>
          <w:tcPr>
            <w:tcW w:type="dxa" w:w="1800"/>
            <w:tcMar>
              <w:top w:w="80" w:type="dxa"/>
              <w:start w:w="120" w:type="dxa"/>
              <w:bottom w:w="80" w:type="dxa"/>
              <w:end w:w="120" w:type="dxa"/>
            </w:tcMar>
            <w:vAlign w:val="top"/>
          </w:tcPr>
          <w:p>
            <w:pPr>
              <w:spacing w:after="0" w:line="264" w:lineRule="auto"/>
            </w:pPr>
            <w:r>
              <w:rPr>
                <w:sz w:val="18"/>
              </w:rPr>
              <w:t>HITL</w:t>
            </w:r>
          </w:p>
        </w:tc>
        <w:tc>
          <w:tcPr>
            <w:tcW w:type="dxa" w:w="7560"/>
            <w:tcMar>
              <w:top w:w="80" w:type="dxa"/>
              <w:start w:w="120" w:type="dxa"/>
              <w:bottom w:w="80" w:type="dxa"/>
              <w:end w:w="120" w:type="dxa"/>
            </w:tcMar>
            <w:vAlign w:val="top"/>
          </w:tcPr>
          <w:p>
            <w:pPr>
              <w:spacing w:after="0" w:line="264" w:lineRule="auto"/>
            </w:pPr>
            <w:r>
              <w:rPr>
                <w:sz w:val="18"/>
              </w:rPr>
              <w:t>A human must approve or reject a proposed action before controlled execution.</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RAG</w:t>
            </w:r>
          </w:p>
        </w:tc>
        <w:tc>
          <w:tcPr>
            <w:tcW w:type="dxa" w:w="7560"/>
            <w:tcMar>
              <w:top w:w="80" w:type="dxa"/>
              <w:start w:w="120" w:type="dxa"/>
              <w:bottom w:w="80" w:type="dxa"/>
              <w:end w:w="120" w:type="dxa"/>
            </w:tcMar>
            <w:vAlign w:val="top"/>
            <w:shd w:fill="FAFBFC"/>
          </w:tcPr>
          <w:p>
            <w:pPr>
              <w:spacing w:after="0" w:line="264" w:lineRule="auto"/>
            </w:pPr>
            <w:r>
              <w:rPr>
                <w:sz w:val="18"/>
              </w:rPr>
              <w:t>Retrieve relevant historical knowledge first, then use it to ground the answer or resolution.</w:t>
            </w:r>
          </w:p>
        </w:tc>
      </w:tr>
      <w:tr>
        <w:trPr>
          <w:cantSplit/>
        </w:trPr>
        <w:tc>
          <w:tcPr>
            <w:tcW w:type="dxa" w:w="1800"/>
            <w:tcMar>
              <w:top w:w="80" w:type="dxa"/>
              <w:start w:w="120" w:type="dxa"/>
              <w:bottom w:w="80" w:type="dxa"/>
              <w:end w:w="120" w:type="dxa"/>
            </w:tcMar>
            <w:vAlign w:val="top"/>
          </w:tcPr>
          <w:p>
            <w:pPr>
              <w:spacing w:after="0" w:line="264" w:lineRule="auto"/>
            </w:pPr>
            <w:r>
              <w:rPr>
                <w:sz w:val="18"/>
              </w:rPr>
              <w:t>Embedding</w:t>
            </w:r>
          </w:p>
        </w:tc>
        <w:tc>
          <w:tcPr>
            <w:tcW w:type="dxa" w:w="7560"/>
            <w:tcMar>
              <w:top w:w="80" w:type="dxa"/>
              <w:start w:w="120" w:type="dxa"/>
              <w:bottom w:w="80" w:type="dxa"/>
              <w:end w:w="120" w:type="dxa"/>
            </w:tcMar>
            <w:vAlign w:val="top"/>
          </w:tcPr>
          <w:p>
            <w:pPr>
              <w:spacing w:after="0" w:line="264" w:lineRule="auto"/>
            </w:pPr>
            <w:r>
              <w:rPr>
                <w:sz w:val="18"/>
              </w:rPr>
              <w:t>A numeric representation of text used to find semantically similar incidents.</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pgvector</w:t>
            </w:r>
          </w:p>
        </w:tc>
        <w:tc>
          <w:tcPr>
            <w:tcW w:type="dxa" w:w="7560"/>
            <w:tcMar>
              <w:top w:w="80" w:type="dxa"/>
              <w:start w:w="120" w:type="dxa"/>
              <w:bottom w:w="80" w:type="dxa"/>
              <w:end w:w="120" w:type="dxa"/>
            </w:tcMar>
            <w:vAlign w:val="top"/>
            <w:shd w:fill="FAFBFC"/>
          </w:tcPr>
          <w:p>
            <w:pPr>
              <w:spacing w:after="0" w:line="264" w:lineRule="auto"/>
            </w:pPr>
            <w:r>
              <w:rPr>
                <w:sz w:val="18"/>
              </w:rPr>
              <w:t>A PostgreSQL extension for storing and comparing vectors.</w:t>
            </w:r>
          </w:p>
        </w:tc>
      </w:tr>
      <w:tr>
        <w:trPr>
          <w:cantSplit/>
        </w:trPr>
        <w:tc>
          <w:tcPr>
            <w:tcW w:type="dxa" w:w="1800"/>
            <w:tcMar>
              <w:top w:w="80" w:type="dxa"/>
              <w:start w:w="120" w:type="dxa"/>
              <w:bottom w:w="80" w:type="dxa"/>
              <w:end w:w="120" w:type="dxa"/>
            </w:tcMar>
            <w:vAlign w:val="top"/>
          </w:tcPr>
          <w:p>
            <w:pPr>
              <w:spacing w:after="0" w:line="264" w:lineRule="auto"/>
            </w:pPr>
            <w:r>
              <w:rPr>
                <w:sz w:val="18"/>
              </w:rPr>
              <w:t>LangGraph</w:t>
            </w:r>
          </w:p>
        </w:tc>
        <w:tc>
          <w:tcPr>
            <w:tcW w:type="dxa" w:w="7560"/>
            <w:tcMar>
              <w:top w:w="80" w:type="dxa"/>
              <w:start w:w="120" w:type="dxa"/>
              <w:bottom w:w="80" w:type="dxa"/>
              <w:end w:w="120" w:type="dxa"/>
            </w:tcMar>
            <w:vAlign w:val="top"/>
          </w:tcPr>
          <w:p>
            <w:pPr>
              <w:spacing w:after="0" w:line="264" w:lineRule="auto"/>
            </w:pPr>
            <w:r>
              <w:rPr>
                <w:sz w:val="18"/>
              </w:rPr>
              <w:t>A stateful graph for organizing parallel, conditional, and sequential agent steps.</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Structured output</w:t>
            </w:r>
          </w:p>
        </w:tc>
        <w:tc>
          <w:tcPr>
            <w:tcW w:type="dxa" w:w="7560"/>
            <w:tcMar>
              <w:top w:w="80" w:type="dxa"/>
              <w:start w:w="120" w:type="dxa"/>
              <w:bottom w:w="80" w:type="dxa"/>
              <w:end w:w="120" w:type="dxa"/>
            </w:tcMar>
            <w:vAlign w:val="top"/>
            <w:shd w:fill="FAFBFC"/>
          </w:tcPr>
          <w:p>
            <w:pPr>
              <w:spacing w:after="0" w:line="264" w:lineRule="auto"/>
            </w:pPr>
            <w:r>
              <w:rPr>
                <w:sz w:val="18"/>
              </w:rPr>
              <w:t>LLM output constrained to validated fields rather than arbitrary prose.</w:t>
            </w:r>
          </w:p>
        </w:tc>
      </w:tr>
      <w:tr>
        <w:trPr>
          <w:cantSplit/>
        </w:trPr>
        <w:tc>
          <w:tcPr>
            <w:tcW w:type="dxa" w:w="1800"/>
            <w:tcMar>
              <w:top w:w="80" w:type="dxa"/>
              <w:start w:w="120" w:type="dxa"/>
              <w:bottom w:w="80" w:type="dxa"/>
              <w:end w:w="120" w:type="dxa"/>
            </w:tcMar>
            <w:vAlign w:val="top"/>
          </w:tcPr>
          <w:p>
            <w:pPr>
              <w:spacing w:after="0" w:line="264" w:lineRule="auto"/>
            </w:pPr>
            <w:r>
              <w:rPr>
                <w:sz w:val="18"/>
              </w:rPr>
              <w:t>Dry run</w:t>
            </w:r>
          </w:p>
        </w:tc>
        <w:tc>
          <w:tcPr>
            <w:tcW w:type="dxa" w:w="7560"/>
            <w:tcMar>
              <w:top w:w="80" w:type="dxa"/>
              <w:start w:w="120" w:type="dxa"/>
              <w:bottom w:w="80" w:type="dxa"/>
              <w:end w:w="120" w:type="dxa"/>
            </w:tcMar>
            <w:vAlign w:val="top"/>
          </w:tcPr>
          <w:p>
            <w:pPr>
              <w:spacing w:after="0" w:line="264" w:lineRule="auto"/>
            </w:pPr>
            <w:r>
              <w:rPr>
                <w:sz w:val="18"/>
              </w:rPr>
              <w:t>Validate and record what would happen without changing the cluster.</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Rollout restart</w:t>
            </w:r>
          </w:p>
        </w:tc>
        <w:tc>
          <w:tcPr>
            <w:tcW w:type="dxa" w:w="7560"/>
            <w:tcMar>
              <w:top w:w="80" w:type="dxa"/>
              <w:start w:w="120" w:type="dxa"/>
              <w:bottom w:w="80" w:type="dxa"/>
              <w:end w:w="120" w:type="dxa"/>
            </w:tcMar>
            <w:vAlign w:val="top"/>
            <w:shd w:fill="FAFBFC"/>
          </w:tcPr>
          <w:p>
            <w:pPr>
              <w:spacing w:after="0" w:line="264" w:lineRule="auto"/>
            </w:pPr>
            <w:r>
              <w:rPr>
                <w:sz w:val="18"/>
              </w:rPr>
              <w:t>Patch a Deployment pod-template annotation so Kubernetes safely replaces its pods.</w:t>
            </w:r>
          </w:p>
        </w:tc>
      </w:tr>
      <w:tr>
        <w:trPr>
          <w:cantSplit/>
        </w:trPr>
        <w:tc>
          <w:tcPr>
            <w:tcW w:type="dxa" w:w="1800"/>
            <w:tcMar>
              <w:top w:w="80" w:type="dxa"/>
              <w:start w:w="120" w:type="dxa"/>
              <w:bottom w:w="80" w:type="dxa"/>
              <w:end w:w="120" w:type="dxa"/>
            </w:tcMar>
            <w:vAlign w:val="top"/>
          </w:tcPr>
          <w:p>
            <w:pPr>
              <w:spacing w:after="0" w:line="264" w:lineRule="auto"/>
            </w:pPr>
            <w:r>
              <w:rPr>
                <w:sz w:val="18"/>
              </w:rPr>
              <w:t>RBAC</w:t>
            </w:r>
          </w:p>
        </w:tc>
        <w:tc>
          <w:tcPr>
            <w:tcW w:type="dxa" w:w="7560"/>
            <w:tcMar>
              <w:top w:w="80" w:type="dxa"/>
              <w:start w:w="120" w:type="dxa"/>
              <w:bottom w:w="80" w:type="dxa"/>
              <w:end w:w="120" w:type="dxa"/>
            </w:tcMar>
            <w:vAlign w:val="top"/>
          </w:tcPr>
          <w:p>
            <w:pPr>
              <w:spacing w:after="0" w:line="264" w:lineRule="auto"/>
            </w:pPr>
            <w:r>
              <w:rPr>
                <w:sz w:val="18"/>
              </w:rPr>
              <w:t>Rules defining which identities can read or modify which cluster resources.</w:t>
            </w:r>
          </w:p>
        </w:tc>
      </w:tr>
      <w:tr>
        <w:trPr>
          <w:cantSplit/>
        </w:trPr>
        <w:tc>
          <w:tcPr>
            <w:tcW w:type="dxa" w:w="1800"/>
            <w:tcMar>
              <w:top w:w="80" w:type="dxa"/>
              <w:start w:w="120" w:type="dxa"/>
              <w:bottom w:w="80" w:type="dxa"/>
              <w:end w:w="120" w:type="dxa"/>
            </w:tcMar>
            <w:vAlign w:val="top"/>
            <w:shd w:fill="FAFBFC"/>
          </w:tcPr>
          <w:p>
            <w:pPr>
              <w:spacing w:after="0" w:line="264" w:lineRule="auto"/>
            </w:pPr>
            <w:r>
              <w:rPr>
                <w:sz w:val="18"/>
              </w:rPr>
              <w:t>Route</w:t>
            </w:r>
          </w:p>
        </w:tc>
        <w:tc>
          <w:tcPr>
            <w:tcW w:type="dxa" w:w="7560"/>
            <w:tcMar>
              <w:top w:w="80" w:type="dxa"/>
              <w:start w:w="120" w:type="dxa"/>
              <w:bottom w:w="80" w:type="dxa"/>
              <w:end w:w="120" w:type="dxa"/>
            </w:tcMar>
            <w:vAlign w:val="top"/>
            <w:shd w:fill="FAFBFC"/>
          </w:tcPr>
          <w:p>
            <w:pPr>
              <w:spacing w:after="0" w:line="264" w:lineRule="auto"/>
            </w:pPr>
            <w:r>
              <w:rPr>
                <w:sz w:val="18"/>
              </w:rPr>
              <w:t>OpenShift resource that exposes an HTTP service outside the cluster.</w:t>
            </w:r>
          </w:p>
        </w:tc>
      </w:tr>
    </w:tbl>
    <w:p>
      <w:pPr>
        <w:spacing w:after="0"/>
      </w:pPr>
    </w:p>
    <w:p>
      <w:pPr>
        <w:pStyle w:val="Heading2"/>
      </w:pPr>
      <w:r>
        <w:t>Two-minute project explanation</w:t>
      </w:r>
    </w:p>
    <w:p>
      <w:r>
        <w:t>I built an AI-powered OpenShift operations platform that runs a 17-node LangGraph workflow. Eight collectors inspect nodes, operators, MachineConfigPools, etcd, storage, pods, certificates, and CP4I in parallel. The system normalizes those signals, uses a Groq-hosted LLM for structured severity and root-cause analysis, and uses LlamaIndex with HuggingFace embeddings and PostgreSQL pgvector to reuse similar historical incident resolutions. Every run and decision is persisted in PostgreSQL. It sends a Gmail-safe HTML report, can create a Google Calendar event with a Meet link when the same in-scope critical incident persists, and proposes an allowlisted Deployment restart through a human approval page. Live remediation is independently gated by configuration, a secret, RBAC, and pre/post audit capture. I containerized the scheduler and Streamlit dashboard and prepared OpenShift manifests with non-root security contexts, probes, ConfigMaps, Secrets, Routes, and least-privilege RBAC. The full flow is validated locally against OpenShift; production rollout still requires the approved image, managed database, secrets, Route authentication, and governance sign-off.</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right="173"/>
      <w:jc w:val="right"/>
    </w:pPr>
    <w:r>
      <w:rPr>
        <w:color w:val="5B657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OCP Command Center  |  Technical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bullet"/>
      <w:lvlText w:val="•"/>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bullet"/>
      <w:lvlText w:val="•"/>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OCP Command Center — Detailed Project Guide</dc:title>
  <dc:subject>End-to-end architecture, implementation, operations, and deployment</dc:subject>
  <dc:creator>Project Team</dc:creator>
  <cp:keywords>OpenShift, LangGraph, Groq, RAG, pgvector, PostgreSQL, HITL, Streamlit, Google Calendar</cp:keywords>
  <dc:description>generated by python-docx</dc:description>
  <cp:lastModifiedBy/>
  <cp:revision>1</cp:revision>
  <dcterms:created xsi:type="dcterms:W3CDTF">2013-12-23T23:15:00Z</dcterms:created>
  <dcterms:modified xsi:type="dcterms:W3CDTF">2013-12-23T23:15:00Z</dcterms:modified>
  <cp:category/>
</cp:coreProperties>
</file>