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検索キー管理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704-01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検索キー管理画面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検索キー管理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[検索キー追加]①   検索欄[__________]②  [検索]③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┌──────┬──────────┬───────────────┐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ID④   │ 検索キー⑤ │ 操作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├──────┼──────────┼───────────────┤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001    │ Java      │ [編集]⑥ [削除]⑦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└──────┴──────────┴───────────────┘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検索キー追加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検索キー登録画面を表示する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検索キーを絞り込むキーワードを入力する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入力条件で検索キーを検索する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登録済み検索キーのIDを表示する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登録済み検索キーの名称を表示する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編集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当該検索キーの編集画面を表示する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当該検索キーの削除確認画面を表示する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検索キー追加、検索は共通の操作メニュー</w:t>
      </w:r>
    </w:p>
    <w:p>
      <w:r>
        <w:t>編集、削除は検索キー単位の操作メニュー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検索キー管理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704-02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検索キー編集画面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検索キー編集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検索キーID① [ KEY001 ]（変更不可）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検索キー②   [ Java________________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[保存]③  [キャンセル]④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編集対象の検索キーIDを表示する（変更不可）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検索キー名称を入力・修正する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保存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変更を保存し、検索キー管理画面に戻る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変更せず検索キー管理画面に戻る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検索キーは入力フォームの操作メニュー</w:t>
      </w:r>
    </w:p>
    <w:p>
      <w:r>
        <w:t>保存、キャンセルは操作メニュー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検索キー管理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704-03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検索キー削除確認画面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以下の検索キーを削除します。よろしいですか？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│検索キーID① │ KEY003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│検索キー②   │ PC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[削除する]③  [キャンセル]④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削除対象の検索キーIDを表示する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削除対象の検索キー名称を表示する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検索キーを削除し、検索キー管理画面に戻る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削除せず検索キー管理画面に戻る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