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jc w:val="center"/>
      </w:pPr>
      <w:r>
        <w:rPr>
          <w:rFonts w:ascii="Arial" w:cs="Arial" w:eastAsia="Arial" w:hAnsi="Arial"/>
          <w:sz w:val="72"/>
          <w:szCs w:val="72"/>
        </w:rPr>
        <w:t xml:space="preserve">🏢</w:t>
      </w:r>
    </w:p>
    <w:p>
      <w:pPr>
        <w:spacing w:after="120"/>
        <w:jc w:val="center"/>
      </w:pPr>
      <w:r>
        <w:rPr>
          <w:rFonts w:ascii="Arial" w:cs="Arial" w:eastAsia="Arial" w:hAnsi="Arial"/>
          <w:b/>
          <w:bCs/>
          <w:color w:val="1a237e"/>
          <w:sz w:val="60"/>
          <w:szCs w:val="60"/>
        </w:rPr>
        <w:t xml:space="preserve">OfficeSpace MVP</w:t>
      </w:r>
    </w:p>
    <w:p>
      <w:pPr>
        <w:spacing w:after="400"/>
        <w:jc w:val="center"/>
      </w:pPr>
      <w:r>
        <w:rPr>
          <w:rFonts w:ascii="Arial" w:cs="Arial" w:eastAsia="Arial" w:hAnsi="Arial"/>
          <w:color w:val="757575"/>
          <w:sz w:val="32"/>
          <w:szCs w:val="32"/>
        </w:rPr>
        <w:t xml:space="preserve">Gestión Híbrida Inteligente</w:t>
      </w:r>
    </w:p>
    <w:p>
      <w:pPr>
        <w:pBdr>
          <w:top w:val="single" w:color="1a237e" w:sz="8"/>
        </w:pBdr>
        <w:spacing w:after="200"/>
        <w:jc w:val="center"/>
      </w:pPr>
    </w:p>
    <w:p>
      <w:pPr>
        <w:spacing w:after="120"/>
        <w:jc w:val="center"/>
      </w:pPr>
      <w:r>
        <w:rPr>
          <w:rFonts w:ascii="Arial" w:cs="Arial" w:eastAsia="Arial" w:hAnsi="Arial"/>
          <w:b/>
          <w:bCs/>
          <w:color w:val="0d47a1"/>
          <w:sz w:val="44"/>
          <w:szCs w:val="44"/>
        </w:rPr>
        <w:t xml:space="preserve">Documento de Arquitectura</w:t>
      </w:r>
    </w:p>
    <w:p>
      <w:pPr>
        <w:spacing w:after="600"/>
        <w:jc w:val="center"/>
      </w:pPr>
      <w:r>
        <w:rPr>
          <w:rFonts w:ascii="Arial" w:cs="Arial" w:eastAsia="Arial" w:hAnsi="Arial"/>
          <w:color w:val="757575"/>
          <w:sz w:val="24"/>
          <w:szCs w:val="24"/>
        </w:rPr>
        <w:t xml:space="preserve">Architecture Decision Records (ADR)</w:t>
      </w:r>
    </w:p>
    <w:p>
      <w:pPr>
        <w:spacing w:after="80"/>
        <w:jc w:val="center"/>
      </w:pPr>
      <w:r>
        <w:rPr>
          <w:rFonts w:ascii="Arial" w:cs="Arial" w:eastAsia="Arial" w:hAnsi="Arial"/>
          <w:b/>
          <w:bCs/>
          <w:color w:val="1a237e"/>
          <w:sz w:val="26"/>
          <w:szCs w:val="26"/>
        </w:rPr>
        <w:t xml:space="preserve">Corporativo Alpha</w:t>
      </w:r>
    </w:p>
    <w:p>
      <w:pPr>
        <w:spacing w:after="80"/>
        <w:jc w:val="center"/>
      </w:pPr>
      <w:r>
        <w:rPr>
          <w:rFonts w:ascii="Arial" w:cs="Arial" w:eastAsia="Arial" w:hAnsi="Arial"/>
          <w:color w:val="757575"/>
          <w:sz w:val="22"/>
          <w:szCs w:val="22"/>
        </w:rPr>
        <w:t xml:space="preserve">Versión 1.0  |  Junio 2026</w:t>
      </w:r>
    </w:p>
    <w:p>
      <w:pPr>
        <w:jc w:val="center"/>
      </w:pPr>
      <w:r>
        <w:rPr>
          <w:rFonts w:ascii="Arial" w:cs="Arial" w:eastAsia="Arial" w:hAnsi="Arial"/>
          <w:b/>
          <w:bCs/>
          <w:color w:val="c62828"/>
          <w:sz w:val="22"/>
          <w:szCs w:val="22"/>
        </w:rPr>
        <w:t xml:space="preserve">Clasificación: Confidencial – Uso Interno</w:t>
      </w:r>
    </w:p>
    <w:p>
      <w:pPr>
        <w:spacing w:after="0"/>
      </w:pPr>
      <w:r>
        <w:br/>
      </w:r>
    </w:p>
    <w:p>
      <w:pPr>
        <w:pStyle w:val="Heading1"/>
        <w:spacing w:after="120" w:before="240"/>
      </w:pPr>
      <w:r>
        <w:rPr>
          <w:rFonts w:ascii="Arial" w:cs="Arial" w:eastAsia="Arial" w:hAnsi="Arial"/>
          <w:b/>
          <w:bCs/>
          <w:color w:val="1a237e"/>
          <w:sz w:val="36"/>
          <w:szCs w:val="36"/>
        </w:rPr>
        <w:t xml:space="preserve">1. Resumen Ejecutivo</w:t>
      </w:r>
    </w:p>
    <w:p>
      <w:pPr>
        <w:spacing w:after="120"/>
      </w:pPr>
      <w:r>
        <w:rPr>
          <w:rFonts w:ascii="Arial" w:cs="Arial" w:eastAsia="Arial" w:hAnsi="Arial"/>
          <w:sz w:val="22"/>
          <w:szCs w:val="22"/>
        </w:rPr>
        <w:t xml:space="preserve">OfficeSpace MVP implementa una arquitectura de Microservicios con Base de Datos Compartida (Hybrid Microservices Architecture), combinando la separación de responsabilidades de los microservicios con la simplicidad operacional de una base de datos centralizada MongoDB.</w:t>
      </w:r>
    </w:p>
    <w:p>
      <w:pPr>
        <w:spacing w:after="120"/>
      </w:pPr>
      <w:r>
        <w:rPr>
          <w:rFonts w:ascii="Arial" w:cs="Arial" w:eastAsia="Arial" w:hAnsi="Arial"/>
          <w:sz w:val="22"/>
          <w:szCs w:val="22"/>
        </w:rPr>
        <w:t xml:space="preserve">Cada microservicio aplica Arquitectura Hexagonal (Ports &amp; Adapters) con principios de Clean Architecture y Domain-Driven Design (DDD), garantizando un código mantenible, testeable y extensible.</w:t>
      </w:r>
    </w:p>
    <w:p>
      <w:pPr>
        <w:spacing w:after="0"/>
      </w:pPr>
      <w:r>
        <w:br/>
      </w:r>
    </w:p>
    <w:p>
      <w:pPr>
        <w:pStyle w:val="Heading1"/>
        <w:spacing w:after="120" w:before="240"/>
      </w:pPr>
      <w:r>
        <w:rPr>
          <w:rFonts w:ascii="Arial" w:cs="Arial" w:eastAsia="Arial" w:hAnsi="Arial"/>
          <w:b/>
          <w:bCs/>
          <w:color w:val="1a237e"/>
          <w:sz w:val="36"/>
          <w:szCs w:val="36"/>
        </w:rPr>
        <w:t xml:space="preserve">2. Diagrama de Arquitectura</w:t>
      </w:r>
    </w:p>
    <w:p>
      <w:pPr>
        <w:pStyle w:val="Heading2"/>
        <w:spacing w:after="100" w:before="200"/>
      </w:pPr>
      <w:r>
        <w:rPr>
          <w:rFonts w:ascii="Arial" w:cs="Arial" w:eastAsia="Arial" w:hAnsi="Arial"/>
          <w:b/>
          <w:bCs/>
          <w:color w:val="0d47a1"/>
          <w:sz w:val="28"/>
          <w:szCs w:val="28"/>
        </w:rPr>
        <w:t xml:space="preserve">2.1 Vista de Componentes</w:t>
      </w:r>
    </w:p>
    <w:p>
      <w:pPr>
        <w:spacing w:after="120"/>
      </w:pPr>
      <w:r>
        <w:rPr>
          <w:rFonts w:ascii="Arial" w:cs="Arial" w:eastAsia="Arial" w:hAnsi="Arial"/>
          <w:sz w:val="22"/>
          <w:szCs w:val="22"/>
        </w:rPr>
        <w:t xml:space="preserve">El sistema se compone de 4 microservicios orquestados por Docker Compose: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3138"/>
      </w:tblGrid>
      <w:tr>
        <w:trPr>
          <w:tblHeader/>
        </w:trPr>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3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auth-service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8081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Spring Boot 3.3.5 + JJWT + BCrypt</w:t>
            </w:r>
          </w:p>
        </w:tc>
        <w:tc>
          <w:tcPr>
            <w:tcW w:type="dxa" w:w="3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Autenticación JWT, gestión de usuarios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catalog-service</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8082</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Spring Boot 3.3.5 + MongoDB</w:t>
            </w:r>
          </w:p>
        </w:tc>
        <w:tc>
          <w:tcPr>
            <w:tcW w:type="dxa" w:w="3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CRUD de espacios de trabajo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booking-service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8083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Spring Boot 3.3.5 + WebFlux</w:t>
            </w:r>
          </w:p>
        </w:tc>
        <w:tc>
          <w:tcPr>
            <w:tcW w:type="dxa" w:w="3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Motor de reservas con anti-solapamiento</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8080</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Spring Boot + PrimeFaces 14</w:t>
            </w:r>
          </w:p>
        </w:tc>
        <w:tc>
          <w:tcPr>
            <w:tcW w:type="dxa" w:w="3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Interfaz web JSF para usuarios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mongodb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27017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MongoDB 7.0</w:t>
            </w:r>
          </w:p>
        </w:tc>
        <w:tc>
          <w:tcPr>
            <w:tcW w:type="dxa" w:w="3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de datos compartida</w:t>
            </w:r>
          </w:p>
        </w:tc>
      </w:tr>
    </w:tbl>
    <w:p>
      <w:pPr>
        <w:spacing w:after="200"/>
      </w:pPr>
    </w:p>
    <w:p>
      <w:pPr>
        <w:pStyle w:val="Heading2"/>
        <w:spacing w:after="100" w:before="200"/>
      </w:pPr>
      <w:r>
        <w:rPr>
          <w:rFonts w:ascii="Arial" w:cs="Arial" w:eastAsia="Arial" w:hAnsi="Arial"/>
          <w:b/>
          <w:bCs/>
          <w:color w:val="0d47a1"/>
          <w:sz w:val="28"/>
          <w:szCs w:val="28"/>
        </w:rPr>
        <w:t xml:space="preserve">2.2 Flujo de Comunicación</w:t>
      </w:r>
    </w:p>
    <w:p>
      <w:pPr>
        <w:pStyle w:val="ListParagraph"/>
        <w:numPr>
          <w:ilvl w:val="0"/>
          <w:numId w:val="2"/>
        </w:numPr>
        <w:spacing w:after="80"/>
      </w:pPr>
      <w:r>
        <w:rPr>
          <w:rFonts w:ascii="Arial" w:cs="Arial" w:eastAsia="Arial" w:hAnsi="Arial"/>
          <w:sz w:val="22"/>
          <w:szCs w:val="22"/>
        </w:rPr>
        <w:t xml:space="preserve">frontend → auth-service: Login y validación de sesión</w:t>
      </w:r>
    </w:p>
    <w:p>
      <w:pPr>
        <w:pStyle w:val="ListParagraph"/>
        <w:numPr>
          <w:ilvl w:val="0"/>
          <w:numId w:val="2"/>
        </w:numPr>
        <w:spacing w:after="80"/>
      </w:pPr>
      <w:r>
        <w:rPr>
          <w:rFonts w:ascii="Arial" w:cs="Arial" w:eastAsia="Arial" w:hAnsi="Arial"/>
          <w:sz w:val="22"/>
          <w:szCs w:val="22"/>
        </w:rPr>
        <w:t xml:space="preserve">frontend → catalog-service: CRUD de espacios y búsqueda</w:t>
      </w:r>
    </w:p>
    <w:p>
      <w:pPr>
        <w:pStyle w:val="ListParagraph"/>
        <w:numPr>
          <w:ilvl w:val="0"/>
          <w:numId w:val="2"/>
        </w:numPr>
        <w:spacing w:after="80"/>
      </w:pPr>
      <w:r>
        <w:rPr>
          <w:rFonts w:ascii="Arial" w:cs="Arial" w:eastAsia="Arial" w:hAnsi="Arial"/>
          <w:sz w:val="22"/>
          <w:szCs w:val="22"/>
        </w:rPr>
        <w:t xml:space="preserve">frontend → booking-service: Crear/cancelar reservas, dashboard</w:t>
      </w:r>
    </w:p>
    <w:p>
      <w:pPr>
        <w:pStyle w:val="ListParagraph"/>
        <w:numPr>
          <w:ilvl w:val="0"/>
          <w:numId w:val="2"/>
        </w:numPr>
        <w:spacing w:after="80"/>
      </w:pPr>
      <w:r>
        <w:rPr>
          <w:rFonts w:ascii="Arial" w:cs="Arial" w:eastAsia="Arial" w:hAnsi="Arial"/>
          <w:sz w:val="22"/>
          <w:szCs w:val="22"/>
        </w:rPr>
        <w:t xml:space="preserve">booking-service → catalog-service: Verificar capacidad del espacio (HTTP REST)</w:t>
      </w:r>
    </w:p>
    <w:p>
      <w:pPr>
        <w:pStyle w:val="ListParagraph"/>
        <w:numPr>
          <w:ilvl w:val="0"/>
          <w:numId w:val="2"/>
        </w:numPr>
        <w:spacing w:after="80"/>
      </w:pPr>
      <w:r>
        <w:rPr>
          <w:rFonts w:ascii="Arial" w:cs="Arial" w:eastAsia="Arial" w:hAnsi="Arial"/>
          <w:sz w:val="22"/>
          <w:szCs w:val="22"/>
        </w:rPr>
        <w:t xml:space="preserve">Todos los servicios → MongoDB: Lectura/escritura de datos</w:t>
      </w:r>
    </w:p>
    <w:p>
      <w:pPr>
        <w:spacing w:after="0"/>
      </w:pPr>
      <w:r>
        <w:br/>
      </w:r>
    </w:p>
    <w:p>
      <w:pPr>
        <w:pStyle w:val="Heading1"/>
        <w:spacing w:after="120" w:before="240"/>
      </w:pPr>
      <w:r>
        <w:rPr>
          <w:rFonts w:ascii="Arial" w:cs="Arial" w:eastAsia="Arial" w:hAnsi="Arial"/>
          <w:b/>
          <w:bCs/>
          <w:color w:val="1a237e"/>
          <w:sz w:val="36"/>
          <w:szCs w:val="36"/>
        </w:rPr>
        <w:t xml:space="preserve">3. Arquitectura Hexagonal por Servicio</w:t>
      </w:r>
    </w:p>
    <w:p>
      <w:pPr>
        <w:pStyle w:val="Heading2"/>
        <w:spacing w:after="100" w:before="200"/>
      </w:pPr>
      <w:r>
        <w:rPr>
          <w:rFonts w:ascii="Arial" w:cs="Arial" w:eastAsia="Arial" w:hAnsi="Arial"/>
          <w:b/>
          <w:bCs/>
          <w:color w:val="0d47a1"/>
          <w:sz w:val="28"/>
          <w:szCs w:val="28"/>
        </w:rPr>
        <w:t xml:space="preserve">3.1 Estructura de Capas</w:t>
      </w:r>
    </w:p>
    <w:p>
      <w:pPr>
        <w:spacing w:after="120"/>
      </w:pPr>
      <w:r>
        <w:rPr>
          <w:rFonts w:ascii="Arial" w:cs="Arial" w:eastAsia="Arial" w:hAnsi="Arial"/>
          <w:sz w:val="22"/>
          <w:szCs w:val="22"/>
        </w:rPr>
        <w:t xml:space="preserve">Cada microservicio sigue la siguiente estructura de capas: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36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domain/model, domain/port, domain/exception</w:t>
            </w:r>
          </w:p>
        </w:tc>
        <w:tc>
          <w:tcPr>
            <w:tcW w:type="dxa" w:w="3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Entidades, puertos (in/out), excepciones de negocio</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Application</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application/usecase, application/dto</w:t>
            </w:r>
          </w:p>
        </w:tc>
        <w:tc>
          <w:tcPr>
            <w:tcW w:type="dxa" w:w="3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Implementación de casos de uso, DTOs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 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infrastructure/adapter/in/rest</w:t>
            </w:r>
          </w:p>
        </w:tc>
        <w:tc>
          <w:tcPr>
            <w:tcW w:type="dxa" w:w="3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Controllers REST, manejadores de excepciones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Infrastructure OUT</w:t>
            </w:r>
          </w:p>
        </w:tc>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infrastructure/adapter/out</w:t>
            </w:r>
          </w:p>
        </w:tc>
        <w:tc>
          <w:tcPr>
            <w:tcW w:type="dxa" w:w="3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Repositorios MongoDB, clientes HTTP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infrastructure/config</w:t>
            </w:r>
          </w:p>
        </w:tc>
        <w:tc>
          <w:tcPr>
            <w:tcW w:type="dxa" w:w="3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 OpenAPI, inicializadores de datos</w:t>
            </w:r>
          </w:p>
        </w:tc>
      </w:tr>
    </w:tbl>
    <w:p>
      <w:pPr>
        <w:spacing w:after="200"/>
      </w:pPr>
    </w:p>
    <w:p>
      <w:pPr>
        <w:pStyle w:val="Heading2"/>
        <w:spacing w:after="100" w:before="200"/>
      </w:pPr>
      <w:r>
        <w:rPr>
          <w:rFonts w:ascii="Arial" w:cs="Arial" w:eastAsia="Arial" w:hAnsi="Arial"/>
          <w:b/>
          <w:bCs/>
          <w:color w:val="0d47a1"/>
          <w:sz w:val="28"/>
          <w:szCs w:val="28"/>
        </w:rPr>
        <w:t xml:space="preserve">3.2 Principio de Inversión de Dependencias</w:t>
      </w:r>
    </w:p>
    <w:p>
      <w:pPr>
        <w:spacing w:after="120"/>
      </w:pPr>
      <w:r>
        <w:rPr>
          <w:rFonts w:ascii="Arial" w:cs="Arial" w:eastAsia="Arial" w:hAnsi="Arial"/>
          <w:sz w:val="22"/>
          <w:szCs w:val="22"/>
        </w:rPr>
        <w:t xml:space="preserve">Las dependencias apuntan siempre hacia el dominio. El dominio no conoce ninguna tecnología externa:</w:t>
      </w:r>
    </w:p>
    <w:p>
      <w:pPr>
        <w:pStyle w:val="ListParagraph"/>
        <w:numPr>
          <w:ilvl w:val="0"/>
          <w:numId w:val="2"/>
        </w:numPr>
        <w:spacing w:after="80"/>
      </w:pPr>
      <w:r>
        <w:rPr>
          <w:rFonts w:ascii="Arial" w:cs="Arial" w:eastAsia="Arial" w:hAnsi="Arial"/>
          <w:sz w:val="22"/>
          <w:szCs w:val="22"/>
        </w:rPr>
        <w:t xml:space="preserve">Domain define interfaces (puertos) que son implementadas por la infraestructura.</w:t>
      </w:r>
    </w:p>
    <w:p>
      <w:pPr>
        <w:pStyle w:val="ListParagraph"/>
        <w:numPr>
          <w:ilvl w:val="0"/>
          <w:numId w:val="2"/>
        </w:numPr>
        <w:spacing w:after="80"/>
      </w:pPr>
      <w:r>
        <w:rPr>
          <w:rFonts w:ascii="Arial" w:cs="Arial" w:eastAsia="Arial" w:hAnsi="Arial"/>
          <w:sz w:val="22"/>
          <w:szCs w:val="22"/>
        </w:rPr>
        <w:t xml:space="preserve">Application usa los puertos de dominio sin conocer las implementaciones.</w:t>
      </w:r>
    </w:p>
    <w:p>
      <w:pPr>
        <w:pStyle w:val="ListParagraph"/>
        <w:numPr>
          <w:ilvl w:val="0"/>
          <w:numId w:val="2"/>
        </w:numPr>
        <w:spacing w:after="80"/>
      </w:pPr>
      <w:r>
        <w:rPr>
          <w:rFonts w:ascii="Arial" w:cs="Arial" w:eastAsia="Arial" w:hAnsi="Arial"/>
          <w:sz w:val="22"/>
          <w:szCs w:val="22"/>
        </w:rPr>
        <w:t xml:space="preserve">Infrastructure implementa los puertos usando tecnologías específicas (MongoDB, JWT, HTTP).</w:t>
      </w:r>
    </w:p>
    <w:p>
      <w:pPr>
        <w:spacing w:after="0"/>
      </w:pPr>
      <w:r>
        <w:br/>
      </w:r>
    </w:p>
    <w:p>
      <w:pPr>
        <w:pStyle w:val="Heading1"/>
        <w:spacing w:after="120" w:before="240"/>
      </w:pPr>
      <w:r>
        <w:rPr>
          <w:rFonts w:ascii="Arial" w:cs="Arial" w:eastAsia="Arial" w:hAnsi="Arial"/>
          <w:b/>
          <w:bCs/>
          <w:color w:val="1a237e"/>
          <w:sz w:val="36"/>
          <w:szCs w:val="36"/>
        </w:rPr>
        <w:t xml:space="preserve">4. Decisiones Arquitectónicas (ADR)</w:t>
      </w:r>
    </w:p>
    <w:p>
      <w:pPr>
        <w:pStyle w:val="Heading2"/>
        <w:spacing w:after="100" w:before="200"/>
      </w:pPr>
      <w:r>
        <w:rPr>
          <w:rFonts w:ascii="Arial" w:cs="Arial" w:eastAsia="Arial" w:hAnsi="Arial"/>
          <w:b/>
          <w:bCs/>
          <w:color w:val="0d47a1"/>
          <w:sz w:val="28"/>
          <w:szCs w:val="28"/>
        </w:rPr>
        <w:t xml:space="preserve">ADR-001: Microservicios con Base de Datos Compartida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Decisión</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Implementar microservicios con una sola instancia MongoDB compartida.</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Contexto</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MVP con equipo pequeño y plazo reducido. Se necesita separación lógica sin la complejidad operacional de múltiples bases de datos.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Consecuencias Positivas</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Menor tiempo de desarrollo, transacciones simples, debugging facilitado, un solo punto de configuración de base de datos.</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Consecuencias Negativas</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Acoplamiento de datos entre servicios. En producción se recomienda migrar a bases de datos independientes por servicio.</w:t>
            </w:r>
          </w:p>
        </w:tc>
      </w:tr>
    </w:tbl>
    <w:p>
      <w:pPr>
        <w:spacing w:after="200"/>
      </w:pPr>
    </w:p>
    <w:p>
      <w:pPr>
        <w:pStyle w:val="Heading2"/>
        <w:spacing w:after="100" w:before="200"/>
      </w:pPr>
      <w:r>
        <w:rPr>
          <w:rFonts w:ascii="Arial" w:cs="Arial" w:eastAsia="Arial" w:hAnsi="Arial"/>
          <w:b/>
          <w:bCs/>
          <w:color w:val="0d47a1"/>
          <w:sz w:val="28"/>
          <w:szCs w:val="28"/>
        </w:rPr>
        <w:t xml:space="preserve">ADR-002: MongoDB como Base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Decisión</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Usar MongoDB 7.0 en lugar de PostgreSQL.</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Contexto</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El stack tecnológico del cliente incluye MongoDB. Los datos de espacios y reservas son documentos con estructura flexible.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Razones</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Schema flexible para recursos de espacios, escalabilidad horizontal nativa, integración nativa con Spring Data MongoDB, índices compuestos para queries de solapamiento.</w:t>
            </w:r>
          </w:p>
        </w:tc>
      </w:tr>
    </w:tbl>
    <w:p>
      <w:pPr>
        <w:spacing w:after="200"/>
      </w:pPr>
    </w:p>
    <w:p>
      <w:pPr>
        <w:pStyle w:val="Heading2"/>
        <w:spacing w:after="100" w:before="200"/>
      </w:pPr>
      <w:r>
        <w:rPr>
          <w:rFonts w:ascii="Arial" w:cs="Arial" w:eastAsia="Arial" w:hAnsi="Arial"/>
          <w:b/>
          <w:bCs/>
          <w:color w:val="0d47a1"/>
          <w:sz w:val="28"/>
          <w:szCs w:val="28"/>
        </w:rPr>
        <w:t xml:space="preserve">ADR-003: JWT con Secreto Compartido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Decisión</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Los servicios validan JWT localmente usando un secreto compartido.</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Alternativa</w:t>
            </w:r>
          </w:p>
        </w:tc>
        <w:tc>
          <w:tcPr>
            <w:tcW w:type="dxa" w:w="71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Llamar al auth-service para validar cada token (más seguro pero más lento).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Razón</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Para MVP, la validación local reduce latencia sin comprometer la seguridad funcional. En producción, considerar OAuth2 con JWKS endpoint.</w:t>
            </w:r>
          </w:p>
        </w:tc>
      </w:tr>
    </w:tbl>
    <w:p>
      <w:pPr>
        <w:spacing w:after="0"/>
      </w:pPr>
      <w:r>
        <w:br/>
      </w:r>
    </w:p>
    <w:p>
      <w:pPr>
        <w:pStyle w:val="Heading1"/>
        <w:spacing w:after="120" w:before="240"/>
      </w:pPr>
      <w:r>
        <w:rPr>
          <w:rFonts w:ascii="Arial" w:cs="Arial" w:eastAsia="Arial" w:hAnsi="Arial"/>
          <w:b/>
          <w:bCs/>
          <w:color w:val="1a237e"/>
          <w:sz w:val="36"/>
          <w:szCs w:val="36"/>
        </w:rPr>
        <w:t xml:space="preserve">5. Seguridad (OWASP Compliance)</w:t>
      </w:r>
    </w:p>
    <w:p>
      <w:pPr>
        <w:pStyle w:val="Heading2"/>
        <w:spacing w:after="100" w:before="200"/>
      </w:pPr>
      <w:r>
        <w:rPr>
          <w:rFonts w:ascii="Arial" w:cs="Arial" w:eastAsia="Arial" w:hAnsi="Arial"/>
          <w:b/>
          <w:bCs/>
          <w:color w:val="0d47a1"/>
          <w:sz w:val="28"/>
          <w:szCs w:val="28"/>
        </w:rPr>
        <w:t xml:space="preserve">5.1 Controles Implementados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Riesgo OWASP</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Control Implementado</w:t>
            </w:r>
          </w:p>
        </w:tc>
        <w:tc>
          <w:tcPr>
            <w:tcW w:type="dxa" w:w="3638"/>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A01: Broken Access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RBAC + JWT validation</w:t>
            </w:r>
          </w:p>
        </w:tc>
        <w:tc>
          <w:tcPr>
            <w:tcW w:type="dxa" w:w="3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Filtro JWT en cada servicio, verificación de rol en Security Config</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A02: Cryptographic Failures</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BCrypt para contraseñas</w:t>
            </w:r>
          </w:p>
        </w:tc>
        <w:tc>
          <w:tcPr>
            <w:tcW w:type="dxa" w:w="3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BCryptPasswordEncoder strength=12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A03: Injection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Validación de entrada</w:t>
            </w:r>
          </w:p>
        </w:tc>
        <w:tc>
          <w:tcPr>
            <w:tcW w:type="dxa" w:w="3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Jakarta Validation @NotBlank, @Min, @Max, @Email</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A07: Auth Failures</w:t>
            </w:r>
          </w:p>
        </w:tc>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JWT con expiración</w:t>
            </w:r>
          </w:p>
        </w:tc>
        <w:tc>
          <w:tcPr>
            <w:tcW w:type="dxa" w:w="36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color w:val="333333"/>
                <w:sz w:val="20"/>
                <w:szCs w:val="20"/>
              </w:rPr>
              <w:t xml:space="preserve">Tokens expiran en 24h, mensaje genérico en error 401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A09: Logging Failures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Logs estructurados</w:t>
            </w:r>
          </w:p>
        </w:tc>
        <w:tc>
          <w:tcPr>
            <w:tcW w:type="dxa" w:w="3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SLF4J, sin datos sensibles en logs (contraseñas limpiadas de memoria)</w:t>
            </w:r>
          </w:p>
        </w:tc>
      </w:tr>
    </w:tbl>
    <w:p>
      <w:pPr>
        <w:spacing w:after="0"/>
      </w:pPr>
      <w:r>
        <w:br/>
      </w:r>
    </w:p>
    <w:p>
      <w:pPr>
        <w:pStyle w:val="Heading1"/>
        <w:spacing w:after="120" w:before="240"/>
      </w:pPr>
      <w:r>
        <w:rPr>
          <w:rFonts w:ascii="Arial" w:cs="Arial" w:eastAsia="Arial" w:hAnsi="Arial"/>
          <w:b/>
          <w:bCs/>
          <w:color w:val="1a237e"/>
          <w:sz w:val="36"/>
          <w:szCs w:val="36"/>
        </w:rPr>
        <w:t xml:space="preserve">6. Infraestructura Docker</w:t>
      </w:r>
    </w:p>
    <w:p>
      <w:pPr>
        <w:pStyle w:val="Heading2"/>
        <w:spacing w:after="100" w:before="200"/>
      </w:pPr>
      <w:r>
        <w:rPr>
          <w:rFonts w:ascii="Arial" w:cs="Arial" w:eastAsia="Arial" w:hAnsi="Arial"/>
          <w:b/>
          <w:bCs/>
          <w:color w:val="0d47a1"/>
          <w:sz w:val="28"/>
          <w:szCs w:val="28"/>
        </w:rPr>
        <w:t xml:space="preserve">6.1 Docker Compose</w:t>
      </w:r>
    </w:p>
    <w:p>
      <w:pPr>
        <w:spacing w:after="120"/>
      </w:pPr>
      <w:r>
        <w:rPr>
          <w:rFonts w:ascii="Arial" w:cs="Arial" w:eastAsia="Arial" w:hAnsi="Arial"/>
          <w:sz w:val="22"/>
          <w:szCs w:val="22"/>
        </w:rPr>
        <w:t xml:space="preserve">El archivo docker-compose.yml orquesta todos los servicios con dependencias y health checks:</w:t>
      </w:r>
    </w:p>
    <w:p>
      <w:pPr>
        <w:pStyle w:val="ListParagraph"/>
        <w:numPr>
          <w:ilvl w:val="0"/>
          <w:numId w:val="2"/>
        </w:numPr>
        <w:spacing w:after="80"/>
      </w:pPr>
      <w:r>
        <w:rPr>
          <w:rFonts w:ascii="Arial" w:cs="Arial" w:eastAsia="Arial" w:hAnsi="Arial"/>
          <w:sz w:val="22"/>
          <w:szCs w:val="22"/>
        </w:rPr>
        <w:t xml:space="preserve">MongoDB inicia primero con health check (mongosh ping).</w:t>
      </w:r>
    </w:p>
    <w:p>
      <w:pPr>
        <w:pStyle w:val="ListParagraph"/>
        <w:numPr>
          <w:ilvl w:val="0"/>
          <w:numId w:val="2"/>
        </w:numPr>
        <w:spacing w:after="80"/>
      </w:pPr>
      <w:r>
        <w:rPr>
          <w:rFonts w:ascii="Arial" w:cs="Arial" w:eastAsia="Arial" w:hAnsi="Arial"/>
          <w:sz w:val="22"/>
          <w:szCs w:val="22"/>
        </w:rPr>
        <w:t xml:space="preserve">auth-service y catalog-service esperan MongoDB healthy.</w:t>
      </w:r>
    </w:p>
    <w:p>
      <w:pPr>
        <w:pStyle w:val="ListParagraph"/>
        <w:numPr>
          <w:ilvl w:val="0"/>
          <w:numId w:val="2"/>
        </w:numPr>
        <w:spacing w:after="80"/>
      </w:pPr>
      <w:r>
        <w:rPr>
          <w:rFonts w:ascii="Arial" w:cs="Arial" w:eastAsia="Arial" w:hAnsi="Arial"/>
          <w:sz w:val="22"/>
          <w:szCs w:val="22"/>
        </w:rPr>
        <w:t xml:space="preserve">booking-service espera catalog-service healthy.</w:t>
      </w:r>
    </w:p>
    <w:p>
      <w:pPr>
        <w:pStyle w:val="ListParagraph"/>
        <w:numPr>
          <w:ilvl w:val="0"/>
          <w:numId w:val="2"/>
        </w:numPr>
        <w:spacing w:after="80"/>
      </w:pPr>
      <w:r>
        <w:rPr>
          <w:rFonts w:ascii="Arial" w:cs="Arial" w:eastAsia="Arial" w:hAnsi="Arial"/>
          <w:sz w:val="22"/>
          <w:szCs w:val="22"/>
        </w:rPr>
        <w:t xml:space="preserve">frontend espera los 3 backends healthy.</w:t>
      </w:r>
    </w:p>
    <w:p>
      <w:pPr>
        <w:pStyle w:val="Heading2"/>
        <w:spacing w:after="100" w:before="200"/>
      </w:pPr>
      <w:r>
        <w:rPr>
          <w:rFonts w:ascii="Arial" w:cs="Arial" w:eastAsia="Arial" w:hAnsi="Arial"/>
          <w:b/>
          <w:bCs/>
          <w:color w:val="0d47a1"/>
          <w:sz w:val="28"/>
          <w:szCs w:val="28"/>
        </w:rPr>
        <w:t xml:space="preserve">6.2 Multi-Stage Dockerfile</w:t>
      </w:r>
    </w:p>
    <w:p>
      <w:pPr>
        <w:pStyle w:val="ListParagraph"/>
        <w:numPr>
          <w:ilvl w:val="0"/>
          <w:numId w:val="2"/>
        </w:numPr>
        <w:spacing w:after="80"/>
      </w:pPr>
      <w:r>
        <w:rPr>
          <w:rFonts w:ascii="Arial" w:cs="Arial" w:eastAsia="Arial" w:hAnsi="Arial"/>
          <w:sz w:val="22"/>
          <w:szCs w:val="22"/>
        </w:rPr>
        <w:t xml:space="preserve">Stage 1 (Build): eclipse-temurin:21-jdk-alpine + Maven para compilar.</w:t>
      </w:r>
    </w:p>
    <w:p>
      <w:pPr>
        <w:pStyle w:val="ListParagraph"/>
        <w:numPr>
          <w:ilvl w:val="0"/>
          <w:numId w:val="2"/>
        </w:numPr>
        <w:spacing w:after="80"/>
      </w:pPr>
      <w:r>
        <w:rPr>
          <w:rFonts w:ascii="Arial" w:cs="Arial" w:eastAsia="Arial" w:hAnsi="Arial"/>
          <w:sz w:val="22"/>
          <w:szCs w:val="22"/>
        </w:rPr>
        <w:t xml:space="preserve">Stage 2 (Runtime): eclipse-temurin:21-jre-alpine mínimo.</w:t>
      </w:r>
    </w:p>
    <w:p>
      <w:pPr>
        <w:pStyle w:val="ListParagraph"/>
        <w:numPr>
          <w:ilvl w:val="0"/>
          <w:numId w:val="2"/>
        </w:numPr>
        <w:spacing w:after="80"/>
      </w:pPr>
      <w:r>
        <w:rPr>
          <w:rFonts w:ascii="Arial" w:cs="Arial" w:eastAsia="Arial" w:hAnsi="Arial"/>
          <w:sz w:val="22"/>
          <w:szCs w:val="22"/>
        </w:rPr>
        <w:t xml:space="preserve">Usuario no-root para ejecución (OWASP seguridad).</w:t>
      </w:r>
    </w:p>
    <w:p>
      <w:pPr>
        <w:pStyle w:val="ListParagraph"/>
        <w:numPr>
          <w:ilvl w:val="0"/>
          <w:numId w:val="2"/>
        </w:numPr>
        <w:spacing w:after="80"/>
      </w:pPr>
      <w:r>
        <w:rPr>
          <w:rFonts w:ascii="Arial" w:cs="Arial" w:eastAsia="Arial" w:hAnsi="Arial"/>
          <w:sz w:val="22"/>
          <w:szCs w:val="22"/>
        </w:rPr>
        <w:t xml:space="preserve">Imagen final optimizada (~150MB vs ~400MB con JDK).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757575"/>
        <w:sz w:val="18"/>
        <w:szCs w:val="18"/>
      </w:rPr>
      <w:t xml:space="preserve">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r>
      <w:rPr>
        <w:rFonts w:ascii="Arial" w:cs="Arial" w:eastAsia="Arial" w:hAnsi="Arial"/>
        <w:color w:val="757575"/>
        <w:sz w:val="18"/>
        <w:szCs w:val="18"/>
      </w:rPr>
      <w:t xml:space="preserve">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638"/>
      </w:tabs>
    </w:pPr>
    <w:r>
      <w:rPr>
        <w:rFonts w:ascii="Arial" w:cs="Arial" w:eastAsia="Arial" w:hAnsi="Arial"/>
        <w:color w:val="888888"/>
        <w:sz w:val="18"/>
        <w:szCs w:val="18"/>
      </w:rPr>
      <w:t xml:space="preserve">OfficeSpace MVP – Corporativo Alpha 2026</w:t>
    </w:r>
    <w:r>
      <w:rPr>
        <w:rFonts w:ascii="Arial" w:cs="Arial" w:eastAsia="Arial" w:hAnsi="Arial"/>
        <w:b/>
        <w:bCs/>
        <w:color w:val="1a237e"/>
        <w:sz w:val="18"/>
        <w:szCs w:val="18"/>
      </w:rPr>
      <w:t xml:space="preserve">	Documento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37e"/>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0d47a1"/>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47a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2026-06-23T11:16:12.707Z</dcterms:created>
  <dcterms:modified xsi:type="dcterms:W3CDTF">2026-06-23T11:16:12.707Z</dcterms:modified>
</cp:coreProperties>
</file>

<file path=docProps/custom.xml><?xml version="1.0" encoding="utf-8"?>
<Properties xmlns="http://schemas.openxmlformats.org/officeDocument/2006/custom-properties" xmlns:vt="http://schemas.openxmlformats.org/officeDocument/2006/docPropsVTypes"/>
</file>