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MUTUAL NON-DISCLOSURE AGREEMENT</w:t>
      </w:r>
    </w:p>
    <w:p>
      <w:r>
        <w:t>This Mutual Non-Disclosure Agreement (this "Agreement") is entered into as of the Effective Date by and between Northwind Robotics, Inc., a Delaware corporation ("Northwind"), and Vantage Systems, LLC, a California limited liability company ("Vantage"). Northwind and Vantage are each a "Party" and together the "Parties."</w:t>
      </w:r>
    </w:p>
    <w:p>
      <w:pPr>
        <w:pStyle w:val="Heading1"/>
      </w:pPr>
      <w:r>
        <w:t>1. Purpose</w:t>
      </w:r>
    </w:p>
    <w:p>
      <w:r>
        <w:t>The Parties wish to explore a potential business relationship (the "Purpose") and, in connection with the Purpose, each Party may disclose certain confidential information to the other.</w:t>
      </w:r>
    </w:p>
    <w:p>
      <w:pPr>
        <w:pStyle w:val="Heading1"/>
      </w:pPr>
      <w:r>
        <w:t>2. Confidential Information</w:t>
      </w:r>
    </w:p>
    <w:p>
      <w:r>
        <w:t>"Confidential Information" means information that is disclosed in writing and conspicuously marked "Confidential" at the time of disclosure. Information disclosed orally or visually is protected only if the disclosing Party reduces it to a writing marked "Confidential" and delivers that writing to the receiving Party within five (5) business days of the original disclosure.</w:t>
      </w:r>
    </w:p>
    <w:p>
      <w:pPr>
        <w:pStyle w:val="Heading1"/>
      </w:pPr>
      <w:r>
        <w:t>3. Obligations</w:t>
      </w:r>
    </w:p>
    <w:p>
      <w:r>
        <w:t>Each Party agrees to use the other Party’s Confidential Information solely for the Purpose and to protect it using the same degree of care it uses for its own confidential information. Each Party may disclose Confidential Information to its employees, affiliates, and contractors who need to know it for the Purpose.</w:t>
      </w:r>
    </w:p>
    <w:p>
      <w:pPr>
        <w:pStyle w:val="Heading1"/>
      </w:pPr>
      <w:r>
        <w:t>4. Residuals</w:t>
      </w:r>
    </w:p>
    <w:p>
      <w:r>
        <w:t>Notwithstanding anything to the contrary, each Party may use for any purpose the ideas, concepts, know-how, and techniques related to the other Party’s Confidential Information that are retained in the unaided memory of its personnel, including for the development, marketing, and sale of products and services.</w:t>
      </w:r>
    </w:p>
    <w:p>
      <w:pPr>
        <w:pStyle w:val="Heading1"/>
      </w:pPr>
      <w:r>
        <w:t>5. Term</w:t>
      </w:r>
    </w:p>
    <w:p>
      <w:r>
        <w:t>This Agreement, and each Party’s obligations with respect to Confidential Information, shall remain in effect for one (1) year from the Effective Date, after which the receiving Party shall have no further obligation with respect to the Confidential Information.</w:t>
      </w:r>
    </w:p>
    <w:p>
      <w:pPr>
        <w:pStyle w:val="Heading1"/>
      </w:pPr>
      <w:r>
        <w:t>6. Return of Materials</w:t>
      </w:r>
    </w:p>
    <w:p>
      <w:r>
        <w:t>Upon written request by the disclosing Party, the receiving Party will use commercially reasonable efforts to return or destroy the disclosing Party’s Confidential Information.</w:t>
      </w:r>
    </w:p>
    <w:p>
      <w:pPr>
        <w:pStyle w:val="Heading1"/>
      </w:pPr>
      <w:r>
        <w:t>7. Compelled Disclosure</w:t>
      </w:r>
    </w:p>
    <w:p>
      <w:r>
        <w:t>If a receiving Party is required by law, regulation, or legal process to disclose any Confidential Information, it may do so without liability under this Agreement.</w:t>
      </w:r>
    </w:p>
    <w:p>
      <w:pPr>
        <w:pStyle w:val="Heading1"/>
      </w:pPr>
      <w:r>
        <w:t>8. No License</w:t>
      </w:r>
    </w:p>
    <w:p>
      <w:r>
        <w:t>Nothing in this Agreement grants either Party any license or right to the other Party’s Confidential Information except the limited right to use it for the Purpose.</w:t>
      </w:r>
    </w:p>
    <w:p>
      <w:pPr>
        <w:pStyle w:val="Heading1"/>
      </w:pPr>
      <w:r>
        <w:t>9. Governing Law</w:t>
      </w:r>
    </w:p>
    <w:p>
      <w:r>
        <w:t>This Agreement is governed by the laws of the State of Delaware, without regard to its conflict-of-laws principles.</w:t>
      </w:r>
    </w:p>
    <w:p>
      <w:r>
        <w:t>IN WITNESS WHEREOF, the Parties have executed this Agreement as of the Effective Date.</w:t>
      </w:r>
    </w:p>
    <w:p>
      <w:r>
        <w:t>NORTHWIND ROBOTICS, INC.</w:t>
      </w:r>
    </w:p>
    <w:p>
      <w:r>
        <w:t>By: _______________________</w:t>
      </w:r>
    </w:p>
    <w:p>
      <w:r>
        <w:t>VANTAGE SYSTEMS, LLC</w:t>
      </w:r>
    </w:p>
    <w:p>
      <w:r>
        <w:t>By: 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