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wps="http://schemas.microsoft.com/office/word/2010/wordprocessingShape" xmlns:wp14="http://schemas.microsoft.com/office/word/2010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="http://schemas.openxmlformats.org/officeDocument/2006/math" mc:Ignorable="w14 wp14">
  <w:body>
    <w:p>
      <w:r>
        <w:t>Master Services Agreement</w:t>
      </w:r>
    </w:p>
    <w:p>
      <w:r>
        <w:t xml:space="preserve">This Agreement is effective from the date of signature. </w:t>
      </w:r>
      <w:r>
        <mc:AlternateContent>
          <mc:Choice Requires="wps">
            <w:drawing>
              <wp:anchor distT="45720" distB="45720" distL="114300" distR="114300" simplePos="0" relativeHeight="25169510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520700</wp:posOffset>
                </wp:positionV>
                <wp:extent cx="3600000" cy="360000"/>
                <wp:effectExtent l="0" t="0" r="0" b="0"/>
                <wp:wrapNone/>
                <wp:docPr id="1" name="Notice Box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0000" cy="360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b/>
                                <w:color w:val="C00000"/>
                              </w:rPr>
                              <w:t xml:space="preserve">DRAFT — For internal review only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2" Type="http://schemas.openxmlformats.org/officeDocument/2006/relationships/styles" Target="styles.xml"/>

</Relationships>
</file>