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>This document contains a TIFF image below:</w:t>
      </w:r>
    </w:p>
    <w:p>
      <w:r>
        <w:drawing>
          <wp:inline distT="0" distB="0" distL="0" distR="0">
            <wp:extent cx="914400" cy="914400"/>
            <wp:docPr id="1" name="Picture 1"/>
            <a:graphic>
              <a:graphicData uri="http://schemas.openxmlformats.org/drawingml/2006/picture">
                <pic:pic>
                  <pic:nvPicPr>
                    <pic:cNvPr id="0" name="image1.tiff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The image above should display as a red square if TIFF conversion works.</w:t>
      </w:r>
    </w:p>
    <w:sectPr>
      <w:pgSz w:w="12240" w:h="15840"/>
      <w:pgMar w:top="1440" w:right="1440" w:bottom="1440" w:left="1440" w:header="720" w:footer="720"/>
    </w:sectPr>
  </w:body>
</w:document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image" Target="media/image1.tiff"/>
</Relationships>
</file>