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Landscape Report</w:t>
      </w:r>
    </w:p>
    <w:p>
      <w:r>
        <w:t>This report provides an analysis of the current research landscape based on recent publications and their alignment with upcoming conference topics. We examined papers across multiple areas including deep learning, reinforcement learning, NLP, optimization, generative models, and knowledge graphs.</w:t>
      </w:r>
    </w:p>
    <w:p>
      <w:pPr>
        <w:pStyle w:val="Heading2"/>
      </w:pPr>
      <w:r>
        <w:t>Paper Analysis</w:t>
      </w:r>
    </w:p>
    <w:p>
      <w:r>
        <w:t>We identified five relevant papers in the database. The highest-cited paper is 'Deep RL with Human Feedback' with 520 citations, published at NeurIPS. This paper covers both deep learning and reinforcement learning topics. Other notable papers include 'Efficient Transformers for NLP' (350 citations) and 'Generative Models for Code' (280 citations).</w:t>
      </w:r>
    </w:p>
    <w:p>
      <w:pPr>
        <w:pStyle w:val="Heading2"/>
      </w:pPr>
      <w:r>
        <w:t>Conference Alignment</w:t>
      </w:r>
    </w:p>
    <w:p>
      <w:r>
        <w:t>NeurIPS 2026 has the strongest alignment with our papers, matching two publications in deep learning, reinforcement learning, and NLP with an average citation count of 435. ICML 2026 also matches two papers in optimization and generative models. AAAI 2026 covers knowledge graphs, planning, and NLP, matching two papers.</w:t>
      </w:r>
    </w:p>
    <w:p>
      <w:pPr>
        <w:pStyle w:val="Heading2"/>
      </w:pPr>
      <w:r>
        <w:t>Recommendations</w:t>
      </w:r>
    </w:p>
    <w:p>
      <w:r>
        <w:t>Based on the analysis, we recommend prioritizing NeurIPS 2026 as it aligns best with our research strengths and has the highest average citation impact. ICML 2026 should be a secondary target for our optimization and generative modeling work. AAAI 2026 is recommended for knowledge graph and planning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