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Organizational Skills Gap Analysis</w:t>
      </w:r>
    </w:p>
    <w:p>
      <w:pPr>
        <w:pStyle w:val="Heading1"/>
      </w:pPr>
      <w:r>
        <w:t>Methodology</w:t>
      </w:r>
    </w:p>
    <w:p>
      <w:r>
        <w:t>This section covers methodology with detailed analysis and findings based on the data collected.</w:t>
      </w:r>
    </w:p>
    <w:p>
      <w:pPr>
        <w:pStyle w:val="Heading1"/>
      </w:pPr>
      <w:r>
        <w:t>Department Analysis</w:t>
      </w:r>
    </w:p>
    <w:p>
      <w:r>
        <w:t>This section covers department analysis with detailed analysis and findings based on the data collected.</w:t>
      </w:r>
    </w:p>
    <w:p>
      <w:pPr>
        <w:pStyle w:val="Heading1"/>
      </w:pPr>
      <w:r>
        <w:t>Critical Gaps Identified</w:t>
      </w:r>
    </w:p>
    <w:p>
      <w:r>
        <w:t>This section covers critical gaps identified with detailed analysis and findings based on the data collected.</w:t>
      </w:r>
    </w:p>
    <w:p>
      <w:pPr>
        <w:pStyle w:val="Heading1"/>
      </w:pPr>
      <w:r>
        <w:t>Training Recommendations</w:t>
      </w:r>
    </w:p>
    <w:p>
      <w:r>
        <w:t>This section covers training recommendations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