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Catering Cost Analysis</w:t>
      </w:r>
    </w:p>
    <w:p>
      <w:pPr>
        <w:pStyle w:val="Heading1"/>
      </w:pPr>
      <w:r>
        <w:t>Overview</w:t>
      </w:r>
    </w:p>
    <w:p>
      <w:r>
        <w:t>This analysis covers the cook catering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