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Salary Benchmark Analysis Report</w:t>
      </w:r>
    </w:p>
    <w:p>
      <w:pPr>
        <w:pStyle w:val="Heading2"/>
      </w:pPr>
      <w:r>
        <w:t>Overview</w:t>
      </w:r>
    </w:p>
    <w:p>
      <w:r>
        <w:t>This report provides a comprehensive comparison of our internal salary data against industry benchmarks sourced from the National Compensation Survey 2025. The analysis covers all seven departments with approximately 50,000 employees.</w:t>
      </w:r>
    </w:p>
    <w:p>
      <w:pPr>
        <w:pStyle w:val="Heading2"/>
      </w:pPr>
      <w:r>
        <w:t>Department Variance Analysis</w:t>
      </w:r>
    </w:p>
    <w:p>
      <w:r>
        <w:t>Engineering: Benchmark avg $62,000.00 vs Internal avg $58,991.61 (4.85% below benchmark)</w:t>
      </w:r>
    </w:p>
    <w:p>
      <w:r>
        <w:t>Finance: Benchmark avg $55,000.00 vs Internal avg $57,878.19 (5.23% above benchmark)</w:t>
      </w:r>
    </w:p>
    <w:p>
      <w:r>
        <w:t>HR: Benchmark avg $54,000.00 vs Internal avg $58,920.45 (9.11% above benchmark)</w:t>
      </w:r>
    </w:p>
    <w:p>
      <w:r>
        <w:t>Operations: Benchmark avg $56,000.00 vs Internal avg $57,808.74 (3.23% above benchmark)</w:t>
      </w:r>
    </w:p>
    <w:p>
      <w:r>
        <w:t>R&amp;D: Benchmark avg $61,000.00 vs Internal avg $57,905.93 (5.07% below benchmark)</w:t>
      </w:r>
    </w:p>
    <w:p>
      <w:r>
        <w:t>Sales: Benchmark avg $57,000.00 vs Internal avg $58,864.79 (3.27% above benchmark)</w:t>
      </w:r>
    </w:p>
    <w:p>
      <w:r>
        <w:t>Support: Benchmark avg $52,000.00 vs Internal avg $58,400.48 (12.31% above benchmark)</w:t>
      </w:r>
    </w:p>
    <w:p>
      <w:pPr>
        <w:pStyle w:val="Heading2"/>
      </w:pPr>
      <w:r>
        <w:t>Departments Above Benchmark</w:t>
      </w:r>
    </w:p>
    <w:p>
      <w:r>
        <w:t>Support: +12.31%</w:t>
      </w:r>
    </w:p>
    <w:p>
      <w:r>
        <w:t>HR: +9.11%</w:t>
      </w:r>
    </w:p>
    <w:p>
      <w:r>
        <w:t>Finance: +5.23%</w:t>
      </w:r>
    </w:p>
    <w:p>
      <w:r>
        <w:t>Sales: +3.27%</w:t>
      </w:r>
    </w:p>
    <w:p>
      <w:r>
        <w:t>Operations: +3.23%</w:t>
      </w:r>
    </w:p>
    <w:p>
      <w:pPr>
        <w:pStyle w:val="Heading2"/>
      </w:pPr>
      <w:r>
        <w:t>Departments Below Benchmark</w:t>
      </w:r>
    </w:p>
    <w:p>
      <w:r>
        <w:t>R&amp;D: -5.07%</w:t>
      </w:r>
    </w:p>
    <w:p>
      <w:r>
        <w:t>Engineering: -4.85%</w:t>
      </w:r>
    </w:p>
    <w:p>
      <w:pPr>
        <w:pStyle w:val="Heading2"/>
      </w:pPr>
      <w:r>
        <w:t>Recommendations</w:t>
      </w:r>
    </w:p>
    <w:p>
      <w:r>
        <w:t>The Support department shows the largest positive variance at 12.31% above benchmark, while R&amp;D shows the largest negative variance at 5.07% below benchmark. We recommend reviewing R&amp;D and Engineering compensation to ensure competitive positioning for talent retention, and evaluating whether Support compensation levels are sustainable relative to market rates.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