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Worklife Analysis</w:t>
      </w:r>
    </w:p>
    <w:p>
      <w:pPr>
        <w:pStyle w:val="Heading1"/>
      </w:pPr>
      <w:r>
        <w:t>Overview</w:t>
      </w:r>
    </w:p>
    <w:p>
      <w:r>
        <w:t>This analysis covers the sf worklife domain with data from multiple sources.</w:t>
      </w:r>
    </w:p>
    <w:p>
      <w:pPr>
        <w:pStyle w:val="Heading1"/>
      </w:pPr>
      <w:r>
        <w:t>Key Findings</w:t>
      </w:r>
    </w:p>
    <w:p>
      <w:r>
        <w:t>The analysis reveals several important trends and areas for improvement.</w:t>
      </w:r>
    </w:p>
    <w:p>
      <w:pPr>
        <w:pStyle w:val="Heading1"/>
      </w:pPr>
      <w:r>
        <w:t>Recommendations</w:t>
      </w:r>
    </w:p>
    <w:p>
      <w:r>
        <w:t>Based on the findings, we recommend focusing on the areas with the largest gaps or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