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Nutrition Benchmark Report</w:t>
      </w:r>
    </w:p>
    <w:p>
      <w:r>
        <w:t>This report evaluates recipes against official nutrition benchmarks. The benchmarks specify daily intake ranges of 1800-2200 kcal, 50-80g protein, 225-325g carbs, 44-78g fat, 25-35g fiber, and under 2300mg sodium.</w:t>
      </w:r>
    </w:p>
    <w:p>
      <w:r>
        <w:t>Of the eight recipes analyzed, six meet the per-meal guideline thresholds. Braised Pork Belly and Sweet and Sour Pork exceed calorie and fat limits for a single meal. Steamed Fish and Stir-fried Vegetables are the healthiest options.</w:t>
      </w:r>
    </w:p>
    <w:p>
      <w:r>
        <w:t>The three-day meal plan maintains daily calories within the 1800-2200 range while providing variety across different recipe categories and balanced nutrition.</w:t>
      </w:r>
    </w:p>
    <w:p>
      <w:r>
        <w:t>Recommendations: Prioritize steamed and stir-fried dishes over deep-fried options. Monitor sodium intake from soy sauce-heavy recipes. Include more vegetable dishes to boost fiber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