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Annual Benchmark Analysis Report</w:t>
      </w:r>
    </w:p>
    <w:p>
      <w:pPr>
        <w:pStyle w:val="Heading1"/>
      </w:pPr>
      <w:r>
        <w:t>Executive Summary</w:t>
      </w:r>
    </w:p>
    <w:p>
      <w:r>
        <w:t>This report presents a comprehensive comparison of internal organizational metrics against industry benchmarks sourced from the Industry Analytics Dashboard. The analysis covers four key performance areas: employee compensation, employee satisfaction, revenue efficiency, and sales order performance. Two additional metrics (Customer Retention Rate and SLA Compliance Rate) could not be directly calculated from available internal data and are excluded from the gap analysis.</w:t>
      </w:r>
    </w:p>
    <w:p>
      <w:r>
        <w:t>Key findings indicate that Average Order Value ($152.45 vs industry $175.00) and Revenue Per Employee ($60.98 vs industry $45,000.00) are classified as Critical gaps. Average Salary ($58,396.14 vs industry $62,000.00) and Average Satisfaction (6.55 vs industry 7.20) are classified as Moderate gaps. Immediate action is recommended for all identified gaps, with priority given to Critical classifications.</w:t>
      </w:r>
    </w:p>
    <w:p>
      <w:pPr>
        <w:pStyle w:val="Heading1"/>
      </w:pPr>
      <w:r>
        <w:t>Methodology</w:t>
      </w:r>
    </w:p>
    <w:p>
      <w:r>
        <w:t>External benchmark data was extracted from the Industry Analytics Dashboard (http://localhost:30190), which aggregates performance metrics from 500+ organizations across sectors. Internal metrics were calculated by querying the company data warehouse. Gaps were computed as the difference between internal values and industry averages, with percentage gaps calculated relative to the industry average. Classification follows the standard framework: Critical (&gt;10% below), Moderate (5-10% below), On Track (within 5%), and Leading (&gt;5% above).</w:t>
      </w:r>
    </w:p>
    <w:p>
      <w:pPr>
        <w:pStyle w:val="Heading1"/>
      </w:pPr>
      <w:r>
        <w:t>Internal Performance Overview</w:t>
      </w:r>
    </w:p>
    <w:p>
      <w:r>
        <w:t>Internal metrics were derived from two primary data sources within the company data warehouse:</w:t>
      </w:r>
    </w:p>
    <w:p>
      <w:pPr>
        <w:pStyle w:val="ListBullet"/>
      </w:pPr>
      <w:r>
        <w:t>HR Analytics Database: Employee salary and satisfaction data from 50,000 employee records.</w:t>
      </w:r>
    </w:p>
    <w:p>
      <w:pPr>
        <w:pStyle w:val="ListBullet"/>
      </w:pPr>
      <w:r>
        <w:t>Sales Data Warehouse: Order transaction data including total amounts and volumes.</w:t>
      </w:r>
    </w:p>
    <w:p/>
    <w:p>
      <w:r>
        <w:t>Calculated internal metrics:</w:t>
      </w:r>
    </w:p>
    <w:p>
      <w:pPr>
        <w:pStyle w:val="ListBullet"/>
      </w:pPr>
      <w:r>
        <w:t>Average Salary: $58,396.14</w:t>
      </w:r>
    </w:p>
    <w:p>
      <w:pPr>
        <w:pStyle w:val="ListBullet"/>
      </w:pPr>
      <w:r>
        <w:t>Average Satisfaction: 6.55 out of 10</w:t>
      </w:r>
    </w:p>
    <w:p>
      <w:pPr>
        <w:pStyle w:val="ListBullet"/>
      </w:pPr>
      <w:r>
        <w:t>Revenue Per Employee: $60.98</w:t>
      </w:r>
    </w:p>
    <w:p>
      <w:pPr>
        <w:pStyle w:val="ListBullet"/>
      </w:pPr>
      <w:r>
        <w:t>Average Order Value: $152.45</w:t>
      </w:r>
    </w:p>
    <w:p>
      <w:pPr>
        <w:pStyle w:val="Heading1"/>
      </w:pPr>
      <w:r>
        <w:t>Benchmark Comparison</w:t>
      </w:r>
    </w:p>
    <w:p>
      <w:r>
        <w:t>The industry benchmark dashboard provides both industry average and top quartile figures. The following table summarizes the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Internal</w:t>
            </w:r>
          </w:p>
        </w:tc>
        <w:tc>
          <w:tcPr>
            <w:tcW w:type="dxa" w:w="2160"/>
          </w:tcPr>
          <w:p>
            <w:r>
              <w:rPr>
                <w:b/>
              </w:rPr>
              <w:t>Industry Avg</w:t>
            </w:r>
          </w:p>
        </w:tc>
        <w:tc>
          <w:tcPr>
            <w:tcW w:type="dxa" w:w="2160"/>
          </w:tcPr>
          <w:p>
            <w:r>
              <w:rPr>
                <w:b/>
              </w:rPr>
              <w:t>Top Quartile</w:t>
            </w:r>
          </w:p>
        </w:tc>
      </w:tr>
      <w:tr>
        <w:tc>
          <w:tcPr>
            <w:tcW w:type="dxa" w:w="2160"/>
          </w:tcPr>
          <w:p>
            <w:r>
              <w:t>Avg Order Value</w:t>
            </w:r>
          </w:p>
        </w:tc>
        <w:tc>
          <w:tcPr>
            <w:tcW w:type="dxa" w:w="2160"/>
          </w:tcPr>
          <w:p>
            <w:r>
              <w:t>$152.45</w:t>
            </w:r>
          </w:p>
        </w:tc>
        <w:tc>
          <w:tcPr>
            <w:tcW w:type="dxa" w:w="2160"/>
          </w:tcPr>
          <w:p>
            <w:r>
              <w:t>$175.00</w:t>
            </w:r>
          </w:p>
        </w:tc>
        <w:tc>
          <w:tcPr>
            <w:tcW w:type="dxa" w:w="2160"/>
          </w:tcPr>
          <w:p>
            <w:r>
              <w:t>$220.00</w:t>
            </w:r>
          </w:p>
        </w:tc>
      </w:tr>
      <w:tr>
        <w:tc>
          <w:tcPr>
            <w:tcW w:type="dxa" w:w="2160"/>
          </w:tcPr>
          <w:p>
            <w:r>
              <w:t>Avg Salary</w:t>
            </w:r>
          </w:p>
        </w:tc>
        <w:tc>
          <w:tcPr>
            <w:tcW w:type="dxa" w:w="2160"/>
          </w:tcPr>
          <w:p>
            <w:r>
              <w:t>$58,396.14</w:t>
            </w:r>
          </w:p>
        </w:tc>
        <w:tc>
          <w:tcPr>
            <w:tcW w:type="dxa" w:w="2160"/>
          </w:tcPr>
          <w:p>
            <w:r>
              <w:t>$62,000.00</w:t>
            </w:r>
          </w:p>
        </w:tc>
        <w:tc>
          <w:tcPr>
            <w:tcW w:type="dxa" w:w="2160"/>
          </w:tcPr>
          <w:p>
            <w:r>
              <w:t>$75,000.00</w:t>
            </w:r>
          </w:p>
        </w:tc>
      </w:tr>
      <w:tr>
        <w:tc>
          <w:tcPr>
            <w:tcW w:type="dxa" w:w="2160"/>
          </w:tcPr>
          <w:p>
            <w:r>
              <w:t>Avg Satisfaction</w:t>
            </w:r>
          </w:p>
        </w:tc>
        <w:tc>
          <w:tcPr>
            <w:tcW w:type="dxa" w:w="2160"/>
          </w:tcPr>
          <w:p>
            <w:r>
              <w:t>6.55</w:t>
            </w:r>
          </w:p>
        </w:tc>
        <w:tc>
          <w:tcPr>
            <w:tcW w:type="dxa" w:w="2160"/>
          </w:tcPr>
          <w:p>
            <w:r>
              <w:t>7.20</w:t>
            </w:r>
          </w:p>
        </w:tc>
        <w:tc>
          <w:tcPr>
            <w:tcW w:type="dxa" w:w="2160"/>
          </w:tcPr>
          <w:p>
            <w:r>
              <w:t>8.50</w:t>
            </w:r>
          </w:p>
        </w:tc>
      </w:tr>
      <w:tr>
        <w:tc>
          <w:tcPr>
            <w:tcW w:type="dxa" w:w="2160"/>
          </w:tcPr>
          <w:p>
            <w:r>
              <w:t>Revenue Per Employee</w:t>
            </w:r>
          </w:p>
        </w:tc>
        <w:tc>
          <w:tcPr>
            <w:tcW w:type="dxa" w:w="2160"/>
          </w:tcPr>
          <w:p>
            <w:r>
              <w:t>$60.98</w:t>
            </w:r>
          </w:p>
        </w:tc>
        <w:tc>
          <w:tcPr>
            <w:tcW w:type="dxa" w:w="2160"/>
          </w:tcPr>
          <w:p>
            <w:r>
              <w:t>$45,000.00</w:t>
            </w:r>
          </w:p>
        </w:tc>
        <w:tc>
          <w:tcPr>
            <w:tcW w:type="dxa" w:w="2160"/>
          </w:tcPr>
          <w:p>
            <w:r>
              <w:t>$65,000.00</w:t>
            </w:r>
          </w:p>
        </w:tc>
      </w:tr>
    </w:tbl>
    <w:p>
      <w:pPr>
        <w:pStyle w:val="Heading1"/>
      </w:pPr>
      <w:r>
        <w:t>Gap Analysis</w:t>
      </w:r>
    </w:p>
    <w:p>
      <w:r>
        <w:t>Average Order Value shows a Critical gap at -12.9% below the industry average, representing a shortfall of $22.55 per order. Revenue Per Employee is also Critical at -99.9% below industry benchmarks. Average Salary has a Moderate gap of -5.8% ($3,603.86 below industry average). Average Satisfaction has a Moderate gap of -9.0% (0.65 points below the industry average of 7.2).</w:t>
      </w:r>
    </w:p>
    <w:p>
      <w:r>
        <w:t>All four measurable metrics fall below industry averages, indicating systematic underperformance that requires coordinated organizational action.</w:t>
      </w:r>
    </w:p>
    <w:p>
      <w:pPr>
        <w:pStyle w:val="Heading1"/>
      </w:pPr>
      <w:r>
        <w:t>Strategic Recommendations</w:t>
      </w:r>
    </w:p>
    <w:p>
      <w:pPr>
        <w:pStyle w:val="ListBullet"/>
      </w:pPr>
      <w:r>
        <w:t>Priority 1 - Critical Gaps:</w:t>
      </w:r>
    </w:p>
    <w:p>
      <w:pPr>
        <w:pStyle w:val="ListBullet2"/>
      </w:pPr>
      <w:r>
        <w:t>Average Order Value: Implement upselling and cross-selling strategies, review pricing models, and introduce product bundles to increase average transaction value.</w:t>
      </w:r>
    </w:p>
    <w:p>
      <w:pPr>
        <w:pStyle w:val="ListBullet2"/>
      </w:pPr>
      <w:r>
        <w:t>Revenue Per Employee: Optimize workforce allocation, invest in automation and productivity tools, and review staffing efficiency across departments.</w:t>
      </w:r>
    </w:p>
    <w:p>
      <w:pPr>
        <w:pStyle w:val="ListBullet"/>
      </w:pPr>
      <w:r>
        <w:t>Priority 2 - Moderate Gaps:</w:t>
      </w:r>
    </w:p>
    <w:p>
      <w:pPr>
        <w:pStyle w:val="ListBullet2"/>
      </w:pPr>
      <w:r>
        <w:t>Average Salary: Conduct comprehensive salary benchmarking study and implement phased compensation adjustments for below-market roles.</w:t>
      </w:r>
    </w:p>
    <w:p>
      <w:pPr>
        <w:pStyle w:val="ListBullet2"/>
      </w:pPr>
      <w:r>
        <w:t>Average Satisfaction: Launch employee engagement program, improve work-life balance initiatives, and enhance career development pathways.</w:t>
      </w:r>
    </w:p>
    <w:p>
      <w:pPr>
        <w:pStyle w:val="Heading1"/>
      </w:pPr>
      <w:r>
        <w:t>Implementation Timeline</w:t>
      </w:r>
    </w:p>
    <w:p>
      <w:r>
        <w:t>Q2 2026: Begin upselling strategy rollout and workforce efficiency audit.</w:t>
      </w:r>
    </w:p>
    <w:p>
      <w:r>
        <w:t>Q2-Q3 2026: Implement employee engagement programs and order value optimization.</w:t>
      </w:r>
    </w:p>
    <w:p>
      <w:r>
        <w:t>Q2-Q4 2026: Execute phased salary adjustments based on benchmarking results.</w:t>
      </w:r>
    </w:p>
    <w:p>
      <w:r>
        <w:t>Q2 2026 - Q1 2027: Complete revenue per employee improvement initiatives with full automation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