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Skills Gap Analysis Report</w:t>
      </w:r>
    </w:p>
    <w:p>
      <w:pPr>
        <w:pStyle w:val="Heading1"/>
      </w:pPr>
      <w:r>
        <w:t>Executive Summary</w:t>
      </w:r>
    </w:p>
    <w:p>
      <w:r>
        <w:t>This report analyzes the skills gap between our organization's workforce and industry benchmarks across 7 departments. The analysis reveals that 7 departments have average salaries below industry benchmarks, with an overall average salary gap of $-45,747.12.</w:t>
      </w:r>
    </w:p>
    <w:p>
      <w:pPr>
        <w:pStyle w:val="Heading1"/>
      </w:pPr>
      <w:r>
        <w:t>Department Analysis</w:t>
      </w:r>
    </w:p>
    <w:p>
      <w:r>
        <w:t>Our analysis covers 7 departments with a total workforce of 50,000 employees.</w:t>
      </w:r>
    </w:p>
    <w:p>
      <w:r>
        <w:t>The department with the largest gap relative to industry benchmarks is R&amp;D, while Support shows the smallest gap.</w:t>
      </w:r>
    </w:p>
    <w:p>
      <w:r>
        <w:t>Engineering and R&amp;D departments show the most significant gaps due to high industry demand for technical roles.</w:t>
      </w:r>
    </w:p>
    <w:p>
      <w:pPr>
        <w:pStyle w:val="Heading1"/>
      </w:pPr>
      <w:r>
        <w:t>Recommendations</w:t>
      </w:r>
    </w:p>
    <w:p>
      <w:r>
        <w:t>1. Prioritize salary adjustments for departments with the largest negative gaps to reduce turnover risk.</w:t>
      </w:r>
    </w:p>
    <w:p>
      <w:r>
        <w:t>2. Invest in skills development programs focused on high-demand technical skills identified in the industry report.</w:t>
      </w:r>
    </w:p>
    <w:p>
      <w:r>
        <w:t>3. Conduct quarterly salary benchmarking reviews to ensure competitive compensation across all departments.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