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Strategy</w:t>
      </w:r>
    </w:p>
    <w:p>
      <w:pPr>
        <w:pStyle w:val="Heading1"/>
      </w:pPr>
      <w:r>
        <w:t>Market Position Analysis</w:t>
      </w:r>
    </w:p>
    <w:p>
      <w:r>
        <w:t>Our product portfolio shows a mixed pricing position relative to competitors, with some products priced above market and others below.</w:t>
      </w:r>
    </w:p>
    <w:p>
      <w:pPr>
        <w:pStyle w:val="Heading1"/>
      </w:pPr>
      <w:r>
        <w:t>Product-Level Recommendations</w:t>
      </w:r>
    </w:p>
    <w:p>
      <w:r>
        <w:t>Products priced more than 15% above competitors should be reviewed for price reductions to remain competitive.</w:t>
      </w:r>
    </w:p>
    <w:p>
      <w:pPr>
        <w:pStyle w:val="Heading1"/>
      </w:pPr>
      <w:r>
        <w:t>Implementation Timeline</w:t>
      </w:r>
    </w:p>
    <w:p>
      <w:r>
        <w:t>Phase 1: Immediate price adjustments for overpriced products. Phase 2: Quarterly competitor price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