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2025 Sales Reconciliation - Executive Summary</w:t>
      </w:r>
    </w:p>
    <w:p>
      <w:r>
        <w:rPr>
          <w:sz w:val="22"/>
        </w:rPr>
        <w:t>In Q4 2025, the company generated a total revenue of $291,425.20 against a combined target of $285,000.00 across all five regions. Three regions exceeded their targets: Asia Pacific, Latin America, Middle East, demonstrating strong performance driven by robust enterprise and consumer segments. However, two regions fell short of expectations: Europe, North America. Europe underperformed its $60,000 target by approximately $5,509, while North America missed its $55,000 target by roughly $3,181. Overall, the company achieved $6,425.20 above the aggregate target, indicating solid Q4 performance despite regional variances. Management should investigate the underperformance in Europe and North America to identify corrective actions for Q1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