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Compensation Equity Audit Report</w:t>
      </w:r>
    </w:p>
    <w:p>
      <w:pPr>
        <w:pStyle w:val="Heading1"/>
      </w:pPr>
      <w:r>
        <w:t>Executive Summary</w:t>
      </w:r>
    </w:p>
    <w:p>
      <w:r>
        <w:t>This report presents the findings of the annual compensation equity audit conducted across all seven departments of the organization. The audit analyzed salary data for 50,000 employees, examining pay distribution by department, education level, and experience band to identify potential pay gaps.</w:t>
      </w:r>
    </w:p>
    <w:p>
      <w:r>
        <w:t>The overall equity score across all department-experience band combinations is 0.89, which falls in the Monitor threshold range. Of the 28 department-experience band combinations analyzed, 5 were classified as Concerning (equity ratio below 0.85), 8 as Monitor (0.85 to 0.90), and 15 as Acceptable (0.90 or above). The largest pay gap of 22.8% was found in the Sales department within the Expert experience band.</w:t>
      </w:r>
    </w:p>
    <w:p>
      <w:pPr>
        <w:pStyle w:val="Heading1"/>
      </w:pPr>
      <w:r>
        <w:t>Methodology</w:t>
      </w:r>
    </w:p>
    <w:p>
      <w:r>
        <w:t>Employees were classified into four experience bands: Junior (0-3 years), Mid (4-7 years), Senior (8-12 years), and Expert (13+ years). For each department and experience band combination, average salaries were computed across all education levels (High School, Diploma, Bachelor's, Master's, PhD).</w:t>
      </w:r>
    </w:p>
    <w:p>
      <w:r>
        <w:t>The equity ratio was calculated as the minimum group average salary divided by the maximum group average salary within each department-experience band combination. Pay gap percentage was calculated as the difference between the highest and lowest paid education groups divided by the highest, multiplied by 100.</w:t>
      </w:r>
    </w:p>
    <w:p>
      <w:pPr>
        <w:pStyle w:val="Heading1"/>
      </w:pPr>
      <w:r>
        <w:t>Department Analysis</w:t>
      </w:r>
    </w:p>
    <w:p>
      <w:r>
        <w:t>Engineering: All four experience bands show Acceptable equity ratios, indicating relatively equitable pay across education levels. The largest gap is 9.6% in the Junior band.</w:t>
      </w:r>
    </w:p>
    <w:p>
      <w:r>
        <w:t>Finance: Two Concerning gaps were identified. The Mid experience band shows an 18.9% gap and the Senior band shows a 16.1% gap, both involving PhD holders as the lowest-paid group.</w:t>
      </w:r>
    </w:p>
    <w:p>
      <w:r>
        <w:t>Operations: Two Concerning gaps exist in the Mid (17.3%) and Senior (20.3%) bands, with PhD holders again being the lowest-paid group in these segments.</w:t>
      </w:r>
    </w:p>
    <w:p>
      <w:r>
        <w:t>Sales: Contains the single largest pay gap at 22.8% in the Expert band, classified as Concerning. The Mid and Senior bands are classified as Monitor.</w:t>
      </w:r>
    </w:p>
    <w:p>
      <w:r>
        <w:t>HR, R&amp;D, and Support: These departments generally show acceptable or monitor-level equity ratios with no Concerning classifications, though some Monitor-level gaps warrant continued observation.</w:t>
      </w:r>
    </w:p>
    <w:p>
      <w:pPr>
        <w:pStyle w:val="Heading1"/>
      </w:pPr>
      <w:r>
        <w:t>Key Findings</w:t>
      </w:r>
    </w:p>
    <w:p>
      <w:r>
        <w:t>1. Five department-experience band combinations have Concerning equity ratios below 0.85, requiring immediate attention and remediation planning.</w:t>
      </w:r>
    </w:p>
    <w:p>
      <w:r>
        <w:t>2. The Sales Expert band has the largest single pay gap at 22.8%, with PhD holders earning significantly less than Bachelor's degree holders in the same band.</w:t>
      </w:r>
    </w:p>
    <w:p>
      <w:r>
        <w:t>3. PhD holders appear as the lowest-paid group in multiple Concerning classifications, particularly in Finance, Operations, and Sales departments.</w:t>
      </w:r>
    </w:p>
    <w:p>
      <w:r>
        <w:t>4. Engineering and R&amp;D departments demonstrate the most equitable pay distribution across education levels.</w:t>
      </w:r>
    </w:p>
    <w:p>
      <w:pPr>
        <w:pStyle w:val="Heading1"/>
      </w:pPr>
      <w:r>
        <w:t>Recommendations</w:t>
      </w:r>
    </w:p>
    <w:p>
      <w:r>
        <w:t>1. Conduct targeted salary adjustments for the five Concerning department-experience band combinations, prioritizing the Sales Expert band and Operations Senior band.</w:t>
      </w:r>
    </w:p>
    <w:p>
      <w:r>
        <w:t>2. Investigate the systemic underpayment of PhD holders in Finance, Operations, and Sales to determine if role misalignment or market factors contribute to the gaps.</w:t>
      </w:r>
    </w:p>
    <w:p>
      <w:r>
        <w:t>3. Implement quarterly monitoring of the eight Monitor-level combinations to prevent deterioration into Concerning status.</w:t>
      </w:r>
    </w:p>
    <w:p>
      <w:r>
        <w:t>4. Deploy the Compensation Fairness Survey to gather employee perceptions and identify areas where policy adjustments may be needed.</w:t>
      </w:r>
    </w:p>
    <w:p>
      <w:pPr>
        <w:pStyle w:val="Heading1"/>
      </w:pPr>
      <w:r>
        <w:t>Compliance Statement</w:t>
      </w:r>
    </w:p>
    <w:p>
      <w:r>
        <w:t>This compensation equity audit has been conducted in accordance with applicable equal pay legislation and the organization's internal Compensation Equity Audit Policy. All findings are confidential and are shared only with authorized HR leadership and legal counsel. The organization is committed to fair and equitable compensation practices and will take corrective action where significant disparities have been identified.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