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Regional Sales Forecast Report</w:t>
      </w:r>
    </w:p>
    <w:p>
      <w:pPr>
        <w:pStyle w:val="Heading1"/>
      </w:pPr>
      <w:r>
        <w:t>Executive Summary</w:t>
      </w:r>
    </w:p>
    <w:p>
      <w:r>
        <w:t>This report presents a regional sales forecast for Q1 2026, combining historical sales data from Q4 2025 with regional economic indicators. Using a 3-month trailing average methodology adjusted by GDP growth rates, we project total Q1 2026 revenue of approximately $402,638.85, representing modest growth over the Q4 2025 total of $393,653.23.</w:t>
      </w:r>
    </w:p>
    <w:p>
      <w:pPr>
        <w:pStyle w:val="Heading1"/>
      </w:pPr>
      <w:r>
        <w:t>Methodology</w:t>
      </w:r>
    </w:p>
    <w:p>
      <w:r>
        <w:t>The forecast methodology uses a 3-month trailing average of monthly revenue (October through December 2025) adjusted by regional GDP growth rates. The formula applied is: Monthly Forecast = Trailing 3-Month Average x (1 + GDP Growth Rate / 100). The quarterly forecast is then calculated as 3 times the adjusted monthly forecast. Economic indicator data was sourced from external economic reports.</w:t>
      </w:r>
    </w:p>
    <w:p>
      <w:pPr>
        <w:pStyle w:val="Heading1"/>
      </w:pPr>
      <w:r>
        <w:t>Regional Analysis</w:t>
      </w:r>
    </w:p>
    <w:p>
      <w:r>
        <w:t>Asia Pacific leads the forecast with projected Q1 revenue of $93,992.02, benefiting from the highest GDP growth rate of 3.8% among all regions. This strong economic tailwind combined with solid Q4 performance makes Asia Pacific our most promising region for the upcoming quarter.</w:t>
      </w:r>
    </w:p>
    <w:p>
      <w:r>
        <w:t>North America projects $82,404.74 in Q1 revenue with a moderate GDP growth of 2.1%. The region showed consistent performance across Q4 2025 months. Europe forecasts $73,711.86 with GDP growth of 1.5%. Latin America projects $76,586.30 with 1.2% GDP growth, and Middle East forecasts $75,943.93 with 2.5% GDP growth.</w:t>
      </w:r>
    </w:p>
    <w:p>
      <w:pPr>
        <w:pStyle w:val="Heading1"/>
      </w:pPr>
      <w:r>
        <w:t>Key Assumptions</w:t>
      </w:r>
    </w:p>
    <w:p>
      <w:r>
        <w:t>This forecast assumes that recent sales trends will continue into the next quarter, that economic conditions will remain as indicated by current GDP growth projections, and that no significant market disruptions will occur. The model does not account for seasonal variations beyond what is captured in the trailing average, nor does it incorporate product launch or promotional activity effects.</w:t>
      </w:r>
    </w:p>
    <w:p>
      <w:pPr>
        <w:pStyle w:val="Heading1"/>
      </w:pPr>
      <w:r>
        <w:t>Recommendations</w:t>
      </w:r>
    </w:p>
    <w:p>
      <w:r>
        <w:t>We recommend increasing investment in Asia Pacific given the favorable economic outlook and strong growth trajectory. For Europe, consider targeted campaigns to offset slower economic growth. Latin America shows the lowest GDP growth and may benefit from market development initiatives. All regions should be monitored monthly against forecasts with mid-quarter adjustments as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