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Segment Analysis Report</w:t>
      </w:r>
    </w:p>
    <w:p>
      <w:r>
        <w:t>This report presents a comprehensive analysis of customer segment performance based on data from the SALES_DW data warehouse. The analysis covers four customer segments: Consumer, Enterprise, Government, and SMB. Metrics include customer count, order volume, and total revenue contribution for each segment.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</w:t>
            </w:r>
          </w:p>
        </w:tc>
        <w:tc>
          <w:tcPr>
            <w:tcW w:type="dxa" w:w="2160"/>
          </w:tcPr>
          <w:p>
            <w:r>
              <w:t>Customer_Count</w:t>
            </w:r>
          </w:p>
        </w:tc>
        <w:tc>
          <w:tcPr>
            <w:tcW w:type="dxa" w:w="2160"/>
          </w:tcPr>
          <w:p>
            <w:r>
              <w:t>Order_Count</w:t>
            </w:r>
          </w:p>
        </w:tc>
        <w:tc>
          <w:tcPr>
            <w:tcW w:type="dxa" w:w="2160"/>
          </w:tcPr>
          <w:p>
            <w:r>
              <w:t>Total_Revenue</w:t>
            </w:r>
          </w:p>
        </w:tc>
      </w:tr>
      <w:tr>
        <w:tc>
          <w:tcPr>
            <w:tcW w:type="dxa" w:w="2160"/>
          </w:tcPr>
          <w:p>
            <w:r>
              <w:t>Consumer</w:t>
            </w:r>
          </w:p>
        </w:tc>
        <w:tc>
          <w:tcPr>
            <w:tcW w:type="dxa" w:w="2160"/>
          </w:tcPr>
          <w:p>
            <w:r>
              <w:t>532</w:t>
            </w:r>
          </w:p>
        </w:tc>
        <w:tc>
          <w:tcPr>
            <w:tcW w:type="dxa" w:w="2160"/>
          </w:tcPr>
          <w:p>
            <w:r>
              <w:t>5423</w:t>
            </w:r>
          </w:p>
        </w:tc>
        <w:tc>
          <w:tcPr>
            <w:tcW w:type="dxa" w:w="2160"/>
          </w:tcPr>
          <w:p>
            <w:r>
              <w:t>$839,609.20</w:t>
            </w:r>
          </w:p>
        </w:tc>
      </w:tr>
      <w:tr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r>
              <w:t>513</w:t>
            </w:r>
          </w:p>
        </w:tc>
        <w:tc>
          <w:tcPr>
            <w:tcW w:type="dxa" w:w="2160"/>
          </w:tcPr>
          <w:p>
            <w:r>
              <w:t>5058</w:t>
            </w:r>
          </w:p>
        </w:tc>
        <w:tc>
          <w:tcPr>
            <w:tcW w:type="dxa" w:w="2160"/>
          </w:tcPr>
          <w:p>
            <w:r>
              <w:t>$793,741.69</w:t>
            </w:r>
          </w:p>
        </w:tc>
      </w:tr>
      <w:tr>
        <w:tc>
          <w:tcPr>
            <w:tcW w:type="dxa" w:w="2160"/>
          </w:tcPr>
          <w:p>
            <w:r>
              <w:t>Government</w:t>
            </w:r>
          </w:p>
        </w:tc>
        <w:tc>
          <w:tcPr>
            <w:tcW w:type="dxa" w:w="2160"/>
          </w:tcPr>
          <w:p>
            <w:r>
              <w:t>474</w:t>
            </w:r>
          </w:p>
        </w:tc>
        <w:tc>
          <w:tcPr>
            <w:tcW w:type="dxa" w:w="2160"/>
          </w:tcPr>
          <w:p>
            <w:r>
              <w:t>4679</w:t>
            </w:r>
          </w:p>
        </w:tc>
        <w:tc>
          <w:tcPr>
            <w:tcW w:type="dxa" w:w="2160"/>
          </w:tcPr>
          <w:p>
            <w:r>
              <w:t>$712,686.66</w:t>
            </w:r>
          </w:p>
        </w:tc>
      </w:tr>
      <w:tr>
        <w:tc>
          <w:tcPr>
            <w:tcW w:type="dxa" w:w="2160"/>
          </w:tcPr>
          <w:p>
            <w:r>
              <w:t>SMB</w:t>
            </w:r>
          </w:p>
        </w:tc>
        <w:tc>
          <w:tcPr>
            <w:tcW w:type="dxa" w:w="2160"/>
          </w:tcPr>
          <w:p>
            <w:r>
              <w:t>481</w:t>
            </w:r>
          </w:p>
        </w:tc>
        <w:tc>
          <w:tcPr>
            <w:tcW w:type="dxa" w:w="2160"/>
          </w:tcPr>
          <w:p>
            <w:r>
              <w:t>4840</w:t>
            </w:r>
          </w:p>
        </w:tc>
        <w:tc>
          <w:tcPr>
            <w:tcW w:type="dxa" w:w="2160"/>
          </w:tcPr>
          <w:p>
            <w:r>
              <w:t>$702,960.78</w:t>
            </w:r>
          </w:p>
        </w:tc>
      </w:tr>
    </w:tbl>
    <w:p>
      <w:r>
        <w:t>The Consumer segment leads all segments with $839,609.20 in total revenue across 5,423 orders from 532 customers. Enterprise ranks second with $793,741.69 from 513 customers. Government and SMB segments contribute $712,686.66 and $702,960.78 respectively. Total combined revenue is $3,048,998.33 across 2,000 customers and 20,000 orders.</w:t>
      </w:r>
    </w:p>
    <w:p>
      <w:pPr>
        <w:pStyle w:val="Heading1"/>
      </w:pPr>
      <w:r>
        <w:t>Recommendations</w:t>
      </w:r>
    </w:p>
    <w:p>
      <w:r>
        <w:t>1. Consumer Segment: Invest in loyalty programs and personalization to maintain the Consumer segment's revenue lead. Focus on increasing repeat purchase rates through targeted email campaigns and product recommendations.</w:t>
      </w:r>
    </w:p>
    <w:p>
      <w:r>
        <w:t>2. Enterprise Segment: Strengthen enterprise account management with dedicated account executives. Explore upsell opportunities to close the revenue gap with the Consumer segment.</w:t>
      </w:r>
    </w:p>
    <w:p>
      <w:r>
        <w:t>3. SMB Segment: Launch a targeted growth program for SMB customers. Given the similar customer count to Enterprise but lower revenue ($702k vs $793k), focus on increasing average deal size through bundled offers.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