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Executive Summary 2025</w:t>
      </w:r>
    </w:p>
    <w:p>
      <w:r>
        <w:t>The 2025 annual sales performance demonstrates strong overall growth across all quarters. Q1 2025 established the baseline with solid revenue performance. Q2 2025 showed modest quarter-over-quarter growth. Q3 2025 experienced a slight dip, representing the weakest quarter of the year. Q4 2025 delivered the strongest results, setting a record as the best quarter of the year with the highest revenue and order count. The annual total revenue and order volume reflect a healthy business trajectory heading into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