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2025 Sales Segment Performance Report</w:t>
      </w:r>
    </w:p>
    <w:p>
      <w:r>
        <w:t>This report provides a comprehensive overview of Q4 2025 sales performance across all customer segments.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Actual Sales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Consumer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$106,646.36</w:t>
            </w:r>
          </w:p>
        </w:tc>
        <w:tc>
          <w:tcPr>
            <w:tcW w:type="dxa" w:w="2160"/>
          </w:tcPr>
          <w:p>
            <w:r>
              <w:t>$210,000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656</w:t>
            </w:r>
          </w:p>
        </w:tc>
        <w:tc>
          <w:tcPr>
            <w:tcW w:type="dxa" w:w="2160"/>
          </w:tcPr>
          <w:p>
            <w:r>
              <w:t>$112,773.74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</w:tr>
      <w:tr>
        <w:tc>
          <w:tcPr>
            <w:tcW w:type="dxa" w:w="2160"/>
          </w:tcPr>
          <w:p>
            <w:r>
              <w:t>Government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$89,129.27</w:t>
            </w:r>
          </w:p>
        </w:tc>
        <w:tc>
          <w:tcPr>
            <w:tcW w:type="dxa" w:w="2160"/>
          </w:tcPr>
          <w:p>
            <w:r>
              <w:t>$170,000</w:t>
            </w:r>
          </w:p>
        </w:tc>
      </w:tr>
      <w:tr>
        <w:tc>
          <w:tcPr>
            <w:tcW w:type="dxa" w:w="2160"/>
          </w:tcPr>
          <w:p>
            <w:r>
              <w:t>SMB</w:t>
            </w:r>
          </w:p>
        </w:tc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$85,103.86</w:t>
            </w:r>
          </w:p>
        </w:tc>
        <w:tc>
          <w:tcPr>
            <w:tcW w:type="dxa" w:w="2160"/>
          </w:tcPr>
          <w:p>
            <w:r>
              <w:t>$180,000</w:t>
            </w:r>
          </w:p>
        </w:tc>
      </w:tr>
    </w:tbl>
    <w:p>
      <w:r>
        <w:t>Total Q4 2025 revenue across all segments: $393,653.23. Overall performance shows strong results in Consumer and Enterprise segments.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