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Support Ticket Resolution Analysis</w:t>
      </w:r>
    </w:p>
    <w:p>
      <w:pPr>
        <w:pStyle w:val="Heading2"/>
      </w:pPr>
      <w:r>
        <w:t>Resolution Times by Priority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Priority</w:t>
            </w:r>
          </w:p>
        </w:tc>
        <w:tc>
          <w:tcPr>
            <w:tcW w:type="dxa" w:w="1728"/>
          </w:tcPr>
          <w:p>
            <w:r>
              <w:t>Total_Tickets</w:t>
            </w:r>
          </w:p>
        </w:tc>
        <w:tc>
          <w:tcPr>
            <w:tcW w:type="dxa" w:w="1728"/>
          </w:tcPr>
          <w:p>
            <w:r>
              <w:t>Avg_Hours</w:t>
            </w:r>
          </w:p>
        </w:tc>
        <w:tc>
          <w:tcPr>
            <w:tcW w:type="dxa" w:w="1728"/>
          </w:tcPr>
          <w:p>
            <w:r>
              <w:t>Min_Hours</w:t>
            </w:r>
          </w:p>
        </w:tc>
        <w:tc>
          <w:tcPr>
            <w:tcW w:type="dxa" w:w="1728"/>
          </w:tcPr>
          <w:p>
            <w:r>
              <w:t>Max_Hours</w:t>
            </w:r>
          </w:p>
        </w:tc>
      </w:tr>
      <w:tr>
        <w:tc>
          <w:tcPr>
            <w:tcW w:type="dxa" w:w="1728"/>
          </w:tcPr>
          <w:p>
            <w:r>
              <w:t>High</w:t>
            </w:r>
          </w:p>
        </w:tc>
        <w:tc>
          <w:tcPr>
            <w:tcW w:type="dxa" w:w="1728"/>
          </w:tcPr>
          <w:p>
            <w:r>
              <w:t>6466</w:t>
            </w:r>
          </w:p>
        </w:tc>
        <w:tc>
          <w:tcPr>
            <w:tcW w:type="dxa" w:w="1728"/>
          </w:tcPr>
          <w:p>
            <w:r>
              <w:t>6.23</w:t>
            </w:r>
          </w:p>
        </w:tc>
        <w:tc>
          <w:tcPr>
            <w:tcW w:type="dxa" w:w="1728"/>
          </w:tcPr>
          <w:p>
            <w:r>
              <w:t>0.92</w:t>
            </w:r>
          </w:p>
        </w:tc>
        <w:tc>
          <w:tcPr>
            <w:tcW w:type="dxa" w:w="1728"/>
          </w:tcPr>
          <w:p>
            <w:r>
              <w:t>13.48</w:t>
            </w:r>
          </w:p>
        </w:tc>
      </w:tr>
      <w:tr>
        <w:tc>
          <w:tcPr>
            <w:tcW w:type="dxa" w:w="1728"/>
          </w:tcPr>
          <w:p>
            <w:r>
              <w:t>Low</w:t>
            </w:r>
          </w:p>
        </w:tc>
        <w:tc>
          <w:tcPr>
            <w:tcW w:type="dxa" w:w="1728"/>
          </w:tcPr>
          <w:p>
            <w:r>
              <w:t>9348</w:t>
            </w:r>
          </w:p>
        </w:tc>
        <w:tc>
          <w:tcPr>
            <w:tcW w:type="dxa" w:w="1728"/>
          </w:tcPr>
          <w:p>
            <w:r>
              <w:t>25.76</w:t>
            </w:r>
          </w:p>
        </w:tc>
        <w:tc>
          <w:tcPr>
            <w:tcW w:type="dxa" w:w="1728"/>
          </w:tcPr>
          <w:p>
            <w:r>
              <w:t>5.9</w:t>
            </w:r>
          </w:p>
        </w:tc>
        <w:tc>
          <w:tcPr>
            <w:tcW w:type="dxa" w:w="1728"/>
          </w:tcPr>
          <w:p>
            <w:r>
              <w:t>56.32</w:t>
            </w:r>
          </w:p>
        </w:tc>
      </w:tr>
      <w:tr>
        <w:tc>
          <w:tcPr>
            <w:tcW w:type="dxa" w:w="1728"/>
          </w:tcPr>
          <w:p>
            <w:r>
              <w:t>Medium</w:t>
            </w:r>
          </w:p>
        </w:tc>
        <w:tc>
          <w:tcPr>
            <w:tcW w:type="dxa" w:w="1728"/>
          </w:tcPr>
          <w:p>
            <w:r>
              <w:t>15774</w:t>
            </w:r>
          </w:p>
        </w:tc>
        <w:tc>
          <w:tcPr>
            <w:tcW w:type="dxa" w:w="1728"/>
          </w:tcPr>
          <w:p>
            <w:r>
              <w:t>12.28</w:t>
            </w:r>
          </w:p>
        </w:tc>
        <w:tc>
          <w:tcPr>
            <w:tcW w:type="dxa" w:w="1728"/>
          </w:tcPr>
          <w:p>
            <w:r>
              <w:t>2.82</w:t>
            </w:r>
          </w:p>
        </w:tc>
        <w:tc>
          <w:tcPr>
            <w:tcW w:type="dxa" w:w="1728"/>
          </w:tcPr>
          <w:p>
            <w:r>
              <w:t>27.68</w:t>
            </w:r>
          </w:p>
        </w:tc>
      </w:tr>
    </w:tbl>
    <w:p>
      <w:pPr>
        <w:pStyle w:val="Heading2"/>
      </w:pPr>
      <w:r>
        <w:t>Resolution Times by Category</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Total_Tickets</w:t>
            </w:r>
          </w:p>
        </w:tc>
        <w:tc>
          <w:tcPr>
            <w:tcW w:type="dxa" w:w="2880"/>
          </w:tcPr>
          <w:p>
            <w:r>
              <w:t>Avg_Hours</w:t>
            </w:r>
          </w:p>
        </w:tc>
      </w:tr>
      <w:tr>
        <w:tc>
          <w:tcPr>
            <w:tcW w:type="dxa" w:w="2880"/>
          </w:tcPr>
          <w:p>
            <w:r>
              <w:t>Bug</w:t>
            </w:r>
          </w:p>
        </w:tc>
        <w:tc>
          <w:tcPr>
            <w:tcW w:type="dxa" w:w="2880"/>
          </w:tcPr>
          <w:p>
            <w:r>
              <w:t>6804</w:t>
            </w:r>
          </w:p>
        </w:tc>
        <w:tc>
          <w:tcPr>
            <w:tcW w:type="dxa" w:w="2880"/>
          </w:tcPr>
          <w:p>
            <w:r>
              <w:t>15.96</w:t>
            </w:r>
          </w:p>
        </w:tc>
      </w:tr>
      <w:tr>
        <w:tc>
          <w:tcPr>
            <w:tcW w:type="dxa" w:w="2880"/>
          </w:tcPr>
          <w:p>
            <w:r>
              <w:t>Performance Issue</w:t>
            </w:r>
          </w:p>
        </w:tc>
        <w:tc>
          <w:tcPr>
            <w:tcW w:type="dxa" w:w="2880"/>
          </w:tcPr>
          <w:p>
            <w:r>
              <w:t>8128</w:t>
            </w:r>
          </w:p>
        </w:tc>
        <w:tc>
          <w:tcPr>
            <w:tcW w:type="dxa" w:w="2880"/>
          </w:tcPr>
          <w:p>
            <w:r>
              <w:t>15.2</w:t>
            </w:r>
          </w:p>
        </w:tc>
      </w:tr>
      <w:tr>
        <w:tc>
          <w:tcPr>
            <w:tcW w:type="dxa" w:w="2880"/>
          </w:tcPr>
          <w:p>
            <w:r>
              <w:t>Technical Issue</w:t>
            </w:r>
          </w:p>
        </w:tc>
        <w:tc>
          <w:tcPr>
            <w:tcW w:type="dxa" w:w="2880"/>
          </w:tcPr>
          <w:p>
            <w:r>
              <w:t>1515</w:t>
            </w:r>
          </w:p>
        </w:tc>
        <w:tc>
          <w:tcPr>
            <w:tcW w:type="dxa" w:w="2880"/>
          </w:tcPr>
          <w:p>
            <w:r>
              <w:t>14.7</w:t>
            </w:r>
          </w:p>
        </w:tc>
      </w:tr>
      <w:tr>
        <w:tc>
          <w:tcPr>
            <w:tcW w:type="dxa" w:w="2880"/>
          </w:tcPr>
          <w:p>
            <w:r>
              <w:t>Maintenance</w:t>
            </w:r>
          </w:p>
        </w:tc>
        <w:tc>
          <w:tcPr>
            <w:tcW w:type="dxa" w:w="2880"/>
          </w:tcPr>
          <w:p>
            <w:r>
              <w:t>1558</w:t>
            </w:r>
          </w:p>
        </w:tc>
        <w:tc>
          <w:tcPr>
            <w:tcW w:type="dxa" w:w="2880"/>
          </w:tcPr>
          <w:p>
            <w:r>
              <w:t>14.67</w:t>
            </w:r>
          </w:p>
        </w:tc>
      </w:tr>
      <w:tr>
        <w:tc>
          <w:tcPr>
            <w:tcW w:type="dxa" w:w="2880"/>
          </w:tcPr>
          <w:p>
            <w:r>
              <w:t>Feature Request</w:t>
            </w:r>
          </w:p>
        </w:tc>
        <w:tc>
          <w:tcPr>
            <w:tcW w:type="dxa" w:w="2880"/>
          </w:tcPr>
          <w:p>
            <w:r>
              <w:t>6118</w:t>
            </w:r>
          </w:p>
        </w:tc>
        <w:tc>
          <w:tcPr>
            <w:tcW w:type="dxa" w:w="2880"/>
          </w:tcPr>
          <w:p>
            <w:r>
              <w:t>14.63</w:t>
            </w:r>
          </w:p>
        </w:tc>
      </w:tr>
      <w:tr>
        <w:tc>
          <w:tcPr>
            <w:tcW w:type="dxa" w:w="2880"/>
          </w:tcPr>
          <w:p>
            <w:r>
              <w:t>Incident</w:t>
            </w:r>
          </w:p>
        </w:tc>
        <w:tc>
          <w:tcPr>
            <w:tcW w:type="dxa" w:w="2880"/>
          </w:tcPr>
          <w:p>
            <w:r>
              <w:t>4463</w:t>
            </w:r>
          </w:p>
        </w:tc>
        <w:tc>
          <w:tcPr>
            <w:tcW w:type="dxa" w:w="2880"/>
          </w:tcPr>
          <w:p>
            <w:r>
              <w:t>14.61</w:t>
            </w:r>
          </w:p>
        </w:tc>
      </w:tr>
      <w:tr>
        <w:tc>
          <w:tcPr>
            <w:tcW w:type="dxa" w:w="2880"/>
          </w:tcPr>
          <w:p>
            <w:r>
              <w:t>Service Request</w:t>
            </w:r>
          </w:p>
        </w:tc>
        <w:tc>
          <w:tcPr>
            <w:tcW w:type="dxa" w:w="2880"/>
          </w:tcPr>
          <w:p>
            <w:r>
              <w:t>3002</w:t>
            </w:r>
          </w:p>
        </w:tc>
        <w:tc>
          <w:tcPr>
            <w:tcW w:type="dxa" w:w="2880"/>
          </w:tcPr>
          <w:p>
            <w:r>
              <w:t>14.27</w:t>
            </w:r>
          </w:p>
        </w:tc>
      </w:tr>
    </w:tbl>
    <w:p>
      <w:r>
        <w:t>Overall, 31588 tickets were resolved with an average resolution time of 15.03 hours. High priority tickets average 6.23 hours, Medium priority tickets average 25.76 hours, and Low priority tickets average 12.28 hours.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