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SLA Performance Coaching Plan</w:t>
      </w:r>
    </w:p>
    <w:p>
      <w:pPr>
        <w:pStyle w:val="Heading1"/>
      </w:pPr>
      <w:r>
        <w:t>SLA Performance Summary</w:t>
      </w:r>
    </w:p>
    <w:p>
      <w:r>
        <w:t>The following table summarizes SLA compliance data by ticket priority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Total_Tickets</w:t>
            </w:r>
          </w:p>
        </w:tc>
        <w:tc>
          <w:tcPr>
            <w:tcW w:type="dxa" w:w="1728"/>
          </w:tcPr>
          <w:p>
            <w:r>
              <w:t>Avg_Response_Hours</w:t>
            </w:r>
          </w:p>
        </w:tc>
        <w:tc>
          <w:tcPr>
            <w:tcW w:type="dxa" w:w="1728"/>
          </w:tcPr>
          <w:p>
            <w:r>
              <w:t>SLA_Hours</w:t>
            </w:r>
          </w:p>
        </w:tc>
        <w:tc>
          <w:tcPr>
            <w:tcW w:type="dxa" w:w="1728"/>
          </w:tcPr>
          <w:p>
            <w:r>
              <w:t>Compliance_Rate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6466</w:t>
            </w:r>
          </w:p>
        </w:tc>
        <w:tc>
          <w:tcPr>
            <w:tcW w:type="dxa" w:w="1728"/>
          </w:tcPr>
          <w:p>
            <w:r>
              <w:t>6.23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15774</w:t>
            </w:r>
          </w:p>
        </w:tc>
        <w:tc>
          <w:tcPr>
            <w:tcW w:type="dxa" w:w="1728"/>
          </w:tcPr>
          <w:p>
            <w:r>
              <w:t>12.28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9348</w:t>
            </w:r>
          </w:p>
        </w:tc>
        <w:tc>
          <w:tcPr>
            <w:tcW w:type="dxa" w:w="1728"/>
          </w:tcPr>
          <w:p>
            <w:r>
              <w:t>25.76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1"/>
      </w:pPr>
      <w:r>
        <w:t>Priority Analysis</w:t>
      </w:r>
    </w:p>
    <w:p>
      <w:r>
        <w:t>Medium priority tickets constitute the largest volume with 15,774 tickets (49.9% of total 31,588). High priority tickets (6,466) have the fastest average response at 6.23 hours against a 24-hour SLA. Low priority tickets (9,348) average 25.76 hours response time against a 72-hour SLA. All priority levels currently achieve 100% SLA compliance.</w:t>
      </w:r>
    </w:p>
    <w:p>
      <w:pPr>
        <w:pStyle w:val="Heading1"/>
      </w:pPr>
      <w:r>
        <w:t>Coaching Recommendations</w:t>
      </w:r>
    </w:p>
    <w:p>
      <w:r>
        <w:t>1. Maintain High Priority Excellence: The team responds to high priority tickets in 6.23 hours on average, well within the 24-hour SLA. Continue reinforcing rapid escalation protocols for high-priority issues.</w:t>
      </w:r>
    </w:p>
    <w:p>
      <w:r>
        <w:t>2. Optimize Medium Priority Workflows: With the highest ticket volume (15,774), medium priority handling represents the greatest opportunity for efficiency gains. Review triage processes to reduce average response time below 10 hours.</w:t>
      </w:r>
    </w:p>
    <w:p>
      <w:r>
        <w:t>3. Proactive Low Priority Management: Low priority tickets average 25.76 hours response against a 72-hour limit. Consider batching low-priority tickets for dedicated resolution windows to improve team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