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Supplier Contract Compliance Audit - Detailed Findings</w:t>
      </w:r>
    </w:p>
    <w:p>
      <w:pPr>
        <w:pStyle w:val="Heading1"/>
      </w:pPr>
      <w:r>
        <w:t>Executive Summary</w:t>
      </w:r>
    </w:p>
    <w:p>
      <w:r>
        <w:t>This audit examined contracts with five major suppliers representing 1.4 million dollars in annual spend. Overall compliance is moderate with significant gaps requiring attention in liability clauses, service level agreements, and intellectual property definitions.</w:t>
      </w:r>
    </w:p>
    <w:p>
      <w:pPr>
        <w:pStyle w:val="Heading2"/>
      </w:pPr>
      <w:r>
        <w:t>TechServices Inc - Finding Summary</w:t>
      </w:r>
    </w:p>
    <w:p>
      <w:pPr>
        <w:pStyle w:val="ListBullet"/>
      </w:pPr>
      <w:r>
        <w:t>Compliance Score: 85/100</w:t>
      </w:r>
    </w:p>
    <w:p>
      <w:pPr>
        <w:pStyle w:val="ListBullet"/>
      </w:pPr>
      <w:r>
        <w:t>Gap: Missing limitation of liability clause</w:t>
      </w:r>
    </w:p>
    <w:p>
      <w:pPr>
        <w:pStyle w:val="ListBullet"/>
      </w:pPr>
      <w:r>
        <w:t>Risk Level: Medium</w:t>
      </w:r>
    </w:p>
    <w:p>
      <w:pPr>
        <w:pStyle w:val="ListBullet"/>
      </w:pPr>
      <w:r>
        <w:t>Recommendation: Amend contract to include 12-month liability cap</w:t>
      </w:r>
    </w:p>
    <w:p>
      <w:pPr>
        <w:pStyle w:val="Heading2"/>
      </w:pPr>
      <w:r>
        <w:t>Global Logistics - Finding Summary</w:t>
      </w:r>
    </w:p>
    <w:p>
      <w:pPr>
        <w:pStyle w:val="ListBullet"/>
      </w:pPr>
      <w:r>
        <w:t>Compliance Score: 72/100</w:t>
      </w:r>
    </w:p>
    <w:p>
      <w:pPr>
        <w:pStyle w:val="ListBullet"/>
      </w:pPr>
      <w:r>
        <w:t>Gap: Missing service level agreement definition</w:t>
      </w:r>
    </w:p>
    <w:p>
      <w:pPr>
        <w:pStyle w:val="ListBullet"/>
      </w:pPr>
      <w:r>
        <w:t>Gap: Confidentiality clause inadequate for sensitive data handling</w:t>
      </w:r>
    </w:p>
    <w:p>
      <w:pPr>
        <w:pStyle w:val="ListBullet"/>
      </w:pPr>
      <w:r>
        <w:t>Risk Level: Medium</w:t>
      </w:r>
    </w:p>
    <w:p>
      <w:pPr>
        <w:pStyle w:val="ListBullet"/>
      </w:pPr>
      <w:r>
        <w:t>Recommendation: Supplement contract with comprehensive SLA addendum</w:t>
      </w:r>
    </w:p>
    <w:p>
      <w:pPr>
        <w:pStyle w:val="Heading2"/>
      </w:pPr>
      <w:r>
        <w:t>Quality Manufacturing - Finding Summary</w:t>
      </w:r>
    </w:p>
    <w:p>
      <w:pPr>
        <w:pStyle w:val="ListBullet"/>
      </w:pPr>
      <w:r>
        <w:t>Compliance Score: 80/100</w:t>
      </w:r>
    </w:p>
    <w:p>
      <w:pPr>
        <w:pStyle w:val="ListBullet"/>
      </w:pPr>
      <w:r>
        <w:t>Gap: Payment terms conflict with company policy</w:t>
      </w:r>
    </w:p>
    <w:p>
      <w:pPr>
        <w:pStyle w:val="ListBullet"/>
      </w:pPr>
      <w:r>
        <w:t>Gap: Quality standards not explicitly defined</w:t>
      </w:r>
    </w:p>
    <w:p>
      <w:pPr>
        <w:pStyle w:val="ListBullet"/>
      </w:pPr>
      <w:r>
        <w:t>Risk Level: High</w:t>
      </w:r>
    </w:p>
    <w:p>
      <w:pPr>
        <w:pStyle w:val="ListBullet"/>
      </w:pPr>
      <w:r>
        <w:t>Recommendation: Renegotiate payment terms and add quality standards annex</w:t>
      </w:r>
    </w:p>
    <w:p>
      <w:pPr>
        <w:pStyle w:val="Heading2"/>
      </w:pPr>
      <w:r>
        <w:t>Consulting Group Ltd - Finding Summary</w:t>
      </w:r>
    </w:p>
    <w:p>
      <w:pPr>
        <w:pStyle w:val="ListBullet"/>
      </w:pPr>
      <w:r>
        <w:t>Compliance Score: 75/100</w:t>
      </w:r>
    </w:p>
    <w:p>
      <w:pPr>
        <w:pStyle w:val="ListBullet"/>
      </w:pPr>
      <w:r>
        <w:t>Gap: Scope of services vague and non-specific</w:t>
      </w:r>
    </w:p>
    <w:p>
      <w:pPr>
        <w:pStyle w:val="ListBullet"/>
      </w:pPr>
      <w:r>
        <w:t>Gap: Intellectual property ownership ambiguous</w:t>
      </w:r>
    </w:p>
    <w:p>
      <w:pPr>
        <w:pStyle w:val="ListBullet"/>
      </w:pPr>
      <w:r>
        <w:t>Risk Level: Low</w:t>
      </w:r>
    </w:p>
    <w:p>
      <w:pPr>
        <w:pStyle w:val="ListBullet"/>
      </w:pPr>
      <w:r>
        <w:t>Recommendation: Clarify scope and establish clear IP ownership</w:t>
      </w:r>
    </w:p>
    <w:p>
      <w:pPr>
        <w:pStyle w:val="Heading2"/>
      </w:pPr>
      <w:r>
        <w:t>Support Solutions - Finding Summary</w:t>
      </w:r>
    </w:p>
    <w:p>
      <w:pPr>
        <w:pStyle w:val="ListBullet"/>
      </w:pPr>
      <w:r>
        <w:t>Compliance Score: 95/100</w:t>
      </w:r>
    </w:p>
    <w:p>
      <w:pPr>
        <w:pStyle w:val="ListBullet"/>
      </w:pPr>
      <w:r>
        <w:t>Status: Substantially compliant with all major requirements</w:t>
      </w:r>
    </w:p>
    <w:p>
      <w:pPr>
        <w:pStyle w:val="ListBullet"/>
      </w:pPr>
      <w:r>
        <w:t>Risk Level: Low</w:t>
      </w:r>
    </w:p>
    <w:p>
      <w:pPr>
        <w:pStyle w:val="ListBullet"/>
      </w:pPr>
      <w:r>
        <w:t>Recommendation: Maintain current contract with annual compliance review</w:t>
      </w:r>
    </w:p>
    <w:p>
      <w:pPr>
        <w:pStyle w:val="Heading1"/>
      </w:pPr>
      <w:r>
        <w:t>Key Risk Areas Identified</w:t>
      </w:r>
    </w:p>
    <w:p>
      <w:pPr>
        <w:pStyle w:val="ListBullet"/>
      </w:pPr>
      <w:r>
        <w:t>Liability Limitations: Two contracts lack adequate liability caps, exposing company to unlimited damages</w:t>
      </w:r>
    </w:p>
    <w:p>
      <w:pPr>
        <w:pStyle w:val="ListBullet"/>
      </w:pPr>
      <w:r>
        <w:t>Service Level Agreements: Two suppliers lack defined SLAs creating operational uncertainty</w:t>
      </w:r>
    </w:p>
    <w:p>
      <w:pPr>
        <w:pStyle w:val="ListBullet"/>
      </w:pPr>
      <w:r>
        <w:t>Intellectual Property: Two contracts have ambiguous IP ownership terms</w:t>
      </w:r>
    </w:p>
    <w:p>
      <w:pPr>
        <w:pStyle w:val="ListBullet"/>
      </w:pPr>
      <w:r>
        <w:t>Payment Terms: One contract violates company standard payment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