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Literature Review: Transformer Architectures</w:t>
      </w:r>
    </w:p>
    <w:p>
      <w:pPr>
        <w:pStyle w:val="Heading2"/>
      </w:pPr>
      <w:r>
        <w:t>Introduction</w:t>
      </w:r>
    </w:p>
    <w:p>
      <w:r>
        <w:t>The transformer architecture, introduced by Vaswani et al. in 2017, has become the dominant paradigm in deep learning for both natural language processing and computer vision. This literature review examines five foundational papers that trace the evolution of transformer-based models from the original architecture through specialized variants and scaling studies.</w:t>
      </w:r>
    </w:p>
    <w:p>
      <w:pPr>
        <w:pStyle w:val="Heading2"/>
      </w:pPr>
      <w:r>
        <w:t>Methodology Comparison</w:t>
      </w:r>
    </w:p>
    <w:p>
      <w:r>
        <w:t>The original Transformer (1706.03762) introduced multi-head self-attention as a replacement for recurrent layers, enabling parallel computation and better long-range dependency modeling. BERT (1810.04805) adapted the encoder portion for bidirectional pre-training using masked language modeling, achieving state-of-the-art results on many NLP benchmarks. GPT-3 (2005.14165) demonstrated that massive autoregressive transformers can perform few-shot learning without task-specific fine-tuning. ViT (2010.11929) showed that the transformer architecture can be applied directly to image patches, achieving competitive results with convolutional networks. The Scaling Laws paper (2301.07041) provided empirical evidence for power-law relationships governing model performance as a function of scale.</w:t>
      </w:r>
    </w:p>
    <w:p>
      <w:pPr>
        <w:pStyle w:val="Heading2"/>
      </w:pPr>
      <w:r>
        <w:t>Citation Relationships</w:t>
      </w:r>
    </w:p>
    <w:p>
      <w:r>
        <w:t>All subsequent papers cite the original Transformer paper as their architectural foundation. GPT-3 references both the Transformer and BERT for comparison. ViT draws from both the Transformer architecture and BERT's pre-training methodology. The Scaling Laws paper builds on the Transformer and analyzes models at the GPT-3 scale, creating a direct lineage from architecture to scaling behavior.</w:t>
      </w:r>
    </w:p>
    <w:p>
      <w:pPr>
        <w:pStyle w:val="Heading2"/>
      </w:pPr>
      <w:r>
        <w:t>Research Gaps and Future Directions</w:t>
      </w:r>
    </w:p>
    <w:p>
      <w:r>
        <w:t>While transformers have achieved remarkable success, several gaps remain. Efficiency improvements for long sequences, better understanding of emergent capabilities at scale, and unified multimodal architectures represent promising research directions. The scaling laws suggest predictable improvements with more compute, but the environmental and economic costs of training at scale require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