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Retention Intervention Plan</w:t>
      </w:r>
    </w:p>
    <w:p>
      <w:pPr>
        <w:pStyle w:val="Heading1"/>
      </w:pPr>
      <w:r>
        <w:t>Executive Summary</w:t>
      </w:r>
    </w:p>
    <w:p>
      <w:r>
        <w:t>This report presents the results of a student retention risk analysis conducted across two sections of Foundations of Finance (Fall 2013 and Fall 2014). A total of 3,714 students with graded submissions were evaluated using a three-tier risk classification model based on average submission scores. The analysis identified 363 high-risk students (9.8%), 1,161 medium-risk students (31.3%), and 2,190 low-risk students (59.0%).</w:t>
      </w:r>
    </w:p>
    <w:p>
      <w:pPr>
        <w:pStyle w:val="Heading1"/>
      </w:pPr>
      <w:r>
        <w:t>Risk Distribution</w:t>
      </w:r>
    </w:p>
    <w:p>
      <w:r>
        <w:t>Across both courses, the risk distribution reveals that approximately 9.8% of students fall into the high-risk category with average scores below 60. Medium-risk students, scoring between 60 and 74.99, account for 31.3% of the population. The majority of students (59.0%) are classified as low risk with averages of 75 or above. Course 16 (Fall 2013) has a slightly higher proportion of high-risk students (209 out of 1,872) compared to Course 17 (Fall 2014) with 154 out of 1,842.</w:t>
      </w:r>
    </w:p>
    <w:p>
      <w:pPr>
        <w:pStyle w:val="Heading1"/>
      </w:pPr>
      <w:r>
        <w:t>Recommended Interventions</w:t>
      </w:r>
    </w:p>
    <w:p>
      <w:r>
        <w:t>High Risk (363 students): Immediate one-on-one academic advising sessions should be scheduled within one week. Academic advisors are responsible for reaching out to each student individually to develop personalized improvement plans.</w:t>
      </w:r>
    </w:p>
    <w:p>
      <w:r>
        <w:t>Medium Risk (1,161 students): Group tutoring sessions should be organized within two weeks. Course tutors will lead targeted review sessions focusing on the areas where these students show the most difficulty.</w:t>
      </w:r>
    </w:p>
    <w:p>
      <w:r>
        <w:t>Low Risk (2,190 students): Self-paced study resource recommendations should be sent via email within one month. The Student Success Office will compile and distribute relevant materials to support continued academic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