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Advising Recommendations: Global Governance Program</w:t>
      </w:r>
    </w:p>
    <w:p>
      <w:pPr>
        <w:pStyle w:val="Heading1"/>
      </w:pPr>
      <w:r>
        <w:t>Performance Overview</w:t>
      </w:r>
    </w:p>
    <w:p>
      <w:r>
        <w:t>This report covers two sections of the Global Governance and Geopolitics course: Fall 2013 (952 enrolled, avg score 80.26, pass rate 89.09%) and Fall 2014 (749 enrolled, avg score 79.08, pass rate 88.15%). Combined, there were 10,320 graded submissions across both sections. The grade distribution shows strong performance overall, with 61.9% of submissions in the B or A range. However, 11.3% of submissions fall below the passing threshold.</w:t>
      </w:r>
    </w:p>
    <w:p>
      <w:pPr>
        <w:pStyle w:val="Heading1"/>
      </w:pPr>
      <w:r>
        <w:t>At-Risk Students</w:t>
      </w:r>
    </w:p>
    <w:p>
      <w:r>
        <w:t>Based on submission score analysis, an estimated 192 students fall in the Urgent Intervention category (scores below 60) and 287 students fall in the Academic Support category (scores 60-69). Combined, approximately 479 students across both sections require some form of academic intervention, representing about 28.2% of total enrollment.</w:t>
      </w:r>
    </w:p>
    <w:p>
      <w:pPr>
        <w:pStyle w:val="Heading1"/>
      </w:pPr>
      <w:r>
        <w:t>Recommendations</w:t>
      </w:r>
    </w:p>
    <w:p>
      <w:r>
        <w:t>Urgent Intervention (192 students): Schedule immediate one-on-one meetings with academic advisor and refer to the academic dean for potential course withdrawal or incomplete grade options.</w:t>
      </w:r>
    </w:p>
    <w:p>
      <w:r>
        <w:t>Academic Support (287 students): Enroll in supplemental tutoring sessions and study skills workshops. Assign peer mentors from A-range students in the same course sections.</w:t>
      </w:r>
    </w:p>
    <w:p>
      <w:r>
        <w:t>Progress Monitoring (168 students): Establish bi-weekly check-in appointments with advisors to track improvement and provide early warning if performance declines.</w:t>
      </w:r>
    </w:p>
    <w:p>
      <w:r>
        <w:t>Advising appointments have been scheduled for the week of March 16-20, 2026, with three daily time slots to accommodate all students requiring intervention.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