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Assessment Feedback Report</w:t>
      </w:r>
    </w:p>
    <w:p>
      <w:pPr>
        <w:pStyle w:val="Heading2"/>
      </w:pPr>
      <w:r>
        <w:t>Course Assignment Structure</w:t>
      </w:r>
    </w:p>
    <w:p>
      <w:r>
        <w:t>The review covers two Biochemistry &amp; Bioinformatics courses. Course 3 (Fall 2013) contains 12 assignments with a total of 14,375 submissions across assignments that have submission data. Course 4 (Fall 2014) contains 6 assignments with 7,408 total submissions. Course 3 has more granular assessment with both CMA and TMA assignment types, while Course 4 relies primarily on TMA assignments with higher point values.</w:t>
      </w:r>
    </w:p>
    <w:p>
      <w:pPr>
        <w:pStyle w:val="Heading2"/>
      </w:pPr>
      <w:r>
        <w:t>Recipe Database Analysis</w:t>
      </w:r>
    </w:p>
    <w:p>
      <w:r>
        <w:t>The cooking database contains 322 recipes across 10 categories. The largest category is meat dishes with 97 recipes, followed by vegetable dishes (54) and staple foods (47). Meat dishes and desserts have the highest average difficulty at 3.6 and 3.5 respectively, while breakfast recipes are the easiest at 2.0 average difficulty.</w:t>
      </w:r>
    </w:p>
    <w:p>
      <w:pPr>
        <w:pStyle w:val="Heading2"/>
      </w:pPr>
      <w:r>
        <w:t>Curriculum Integration Recommendations</w:t>
      </w:r>
    </w:p>
    <w:p>
      <w:r>
        <w:t>The recipe database offers content that could complement the biochemistry curriculum. Recipes with detailed ingredient lists can serve as case studies for nutritional analysis. Categories with varying difficulty levels provide scaffolded learning opportunities. The breakfast and staple food categories with lower difficulty ratings are suitable for introductory assignments, while aquatic and meat dishes could be used for advanced projects.</w:t>
      </w:r>
    </w:p>
    <w:p>
      <w:pPr>
        <w:pStyle w:val="Heading2"/>
      </w:pPr>
      <w:r>
        <w:t>Grading Schedule</w:t>
      </w:r>
    </w:p>
    <w:p>
      <w:r>
        <w:t>A grading schedule has been created for all 12 assignments in Course 3, starting from March 10, 2026. Each session is 60 minutes long and scheduled on weekdays only at 09:00. The schedule spans 12 working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