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Research-Teaching Integration Report</w:t>
      </w:r>
    </w:p>
    <w:p>
      <w:pPr>
        <w:pStyle w:val="Heading1"/>
      </w:pPr>
      <w:r>
        <w:t>Executive Summary</w:t>
      </w:r>
    </w:p>
    <w:p>
      <w:r>
        <w:t>This report analyzes the research-teaching alignment of 4 faculty members in the Life Sciences division. The overall average alignment score is 60.0%. 0 faculty members are flagged for curriculum review (score below 30%).</w:t>
      </w:r>
    </w:p>
    <w:p>
      <w:pPr>
        <w:pStyle w:val="Heading1"/>
      </w:pPr>
      <w:r>
        <w:t>Per-Faculty Analysis</w:t>
      </w:r>
    </w:p>
    <w:p>
      <w:pPr>
        <w:pStyle w:val="Heading2"/>
      </w:pPr>
      <w:r>
        <w:t>Dr. Sarah Chen</w:t>
      </w:r>
    </w:p>
    <w:p>
      <w:r>
        <w:t>Department: Biochemistry</w:t>
        <w:br/>
        <w:t>Course: Biochemistry &amp; Bioinformatics (Fall 2013)</w:t>
        <w:br/>
        <w:t>Research Area: protein folding and enzyme kinetics</w:t>
        <w:br/>
        <w:t>Alignment Score: 50.0%</w:t>
        <w:br/>
        <w:t>Status: Aligned</w:t>
      </w:r>
    </w:p>
    <w:p>
      <w:pPr>
        <w:pStyle w:val="Heading2"/>
      </w:pPr>
      <w:r>
        <w:t>Dr. James Okafor</w:t>
      </w:r>
    </w:p>
    <w:p>
      <w:r>
        <w:t>Department: Biochemistry</w:t>
        <w:br/>
        <w:t>Course: Biochemistry &amp; Bioinformatics (Fall 2014)</w:t>
        <w:br/>
        <w:t>Research Area: gene expression regulation</w:t>
        <w:br/>
        <w:t>Alignment Score: 60.0%</w:t>
        <w:br/>
        <w:t>Status: Aligned</w:t>
      </w:r>
    </w:p>
    <w:p>
      <w:pPr>
        <w:pStyle w:val="Heading2"/>
      </w:pPr>
      <w:r>
        <w:t>Dr. Maria Gonzalez</w:t>
      </w:r>
    </w:p>
    <w:p>
      <w:r>
        <w:t>Department: Bioinformatics</w:t>
        <w:br/>
        <w:t>Course: Biochemistry &amp; Bioinformatics (Spring 2013)</w:t>
        <w:br/>
        <w:t>Research Area: sequence alignment algorithms</w:t>
        <w:br/>
        <w:t>Alignment Score: 70.0%</w:t>
        <w:br/>
        <w:t>Status: Aligned</w:t>
      </w:r>
    </w:p>
    <w:p>
      <w:pPr>
        <w:pStyle w:val="Heading2"/>
      </w:pPr>
      <w:r>
        <w:t>Dr. Raj Patel</w:t>
      </w:r>
    </w:p>
    <w:p>
      <w:r>
        <w:t>Department: Bioinformatics</w:t>
        <w:br/>
        <w:t>Course: Biochemistry &amp; Bioinformatics (Spring 2014)</w:t>
        <w:br/>
        <w:t>Research Area: machine learning for genomics</w:t>
        <w:br/>
        <w:t>Alignment Score: 60.0%</w:t>
        <w:br/>
        <w:t>Status: Aligned</w:t>
      </w:r>
    </w:p>
    <w:p>
      <w:pPr>
        <w:pStyle w:val="Heading1"/>
      </w:pPr>
      <w:r>
        <w:t>Department Summary</w:t>
      </w:r>
    </w:p>
    <w:p>
      <w:r>
        <w:t>Biochemistry: Average alignment score 55.0%, 2 faculty, 0 flagged for review.</w:t>
      </w:r>
    </w:p>
    <w:p>
      <w:r>
        <w:t>Bioinformatics: Average alignment score 65.0%, 2 faculty, 0 flagged for review.</w:t>
      </w:r>
    </w:p>
    <w:p>
      <w:pPr>
        <w:pStyle w:val="Heading1"/>
      </w:pPr>
      <w:r>
        <w:t>Recommendations</w:t>
      </w:r>
    </w:p>
    <w:p>
      <w:r>
        <w:t>All faculty members demonstrate adequate research-teaching alignment with scores at or above 30%. We recommend continued monitoring and periodic reassessment. Faculty should be encouraged to further integrate their active research topics into course materials to strengthen the connection between research and teaching.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