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Retention Strategy Report</w:t>
      </w:r>
    </w:p>
    <w:p>
      <w:pPr>
        <w:pStyle w:val="Heading1"/>
      </w:pPr>
      <w:r>
        <w:t>Executive Summary</w:t>
      </w:r>
    </w:p>
    <w:p>
      <w:r>
        <w:t>This report presents a comprehensive analysis of employee flight risk across all seven departments of the organization, informed by both internal workforce analytics and recent academic research on employee retention. Our analysis identifies 4,031 employees across the organization who meet the flight risk criteria of low job satisfaction (score 4 or below) combined with high performance ratings (4 or above). The overall flight risk rate is approximately 8.06%, with department-level rates ranging from 7.41% (Support) to 8.39% (HR). Two departments, Finance and HR, exceed the 8.3% threshold warranting high-priority intervention.</w:t>
      </w:r>
    </w:p>
    <w:p>
      <w:pPr>
        <w:pStyle w:val="Heading1"/>
      </w:pPr>
      <w:r>
        <w:t>Data Analysis</w:t>
      </w:r>
    </w:p>
    <w:p>
      <w:r>
        <w:t>The following analysis is based on employee data from the HR Analytics database covering all 50,000 employees across seven departments.</w:t>
      </w:r>
    </w:p>
    <w:p>
      <w:r>
        <w:t>Engineering has a headcount of 7,096 with 566 flight-risk employees representing 7.98% of the department. The average job satisfaction score is 6.58.</w:t>
      </w:r>
    </w:p>
    <w:p>
      <w:r>
        <w:t>Finance has a headcount of 7,148 with 598 flight-risk employees representing 8.37% of the department. The average job satisfaction score is 6.59.</w:t>
      </w:r>
    </w:p>
    <w:p>
      <w:r>
        <w:t>HR has a headcount of 7,077 with 594 flight-risk employees representing 8.39% of the department. The average job satisfaction score is 6.55.</w:t>
      </w:r>
    </w:p>
    <w:p>
      <w:r>
        <w:t>Operations has a headcount of 7,120 with 564 flight-risk employees representing 7.92% of the department. The average job satisfaction score is 6.53.</w:t>
      </w:r>
    </w:p>
    <w:p>
      <w:r>
        <w:t>R&amp;D has a headcount of 7,083 with 576 flight-risk employees representing 8.13% of the department. The average job satisfaction score is 6.51.</w:t>
      </w:r>
    </w:p>
    <w:p>
      <w:r>
        <w:t>Sales has a headcount of 7,232 with 596 flight-risk employees representing 8.24% of the department. The average job satisfaction score is 6.59.</w:t>
      </w:r>
    </w:p>
    <w:p>
      <w:r>
        <w:t>Support has a headcount of 7,244 with 537 flight-risk employees representing 7.41% of the department. The average job satisfaction score is 6.53.</w:t>
      </w:r>
    </w:p>
    <w:p>
      <w:pPr>
        <w:pStyle w:val="Heading1"/>
      </w:pPr>
      <w:r>
        <w:t>Research Findings</w:t>
      </w:r>
    </w:p>
    <w:p>
      <w:r>
        <w:t>Three academic papers were identified as highly relevant to the organization retention challenge:</w:t>
      </w:r>
    </w:p>
    <w:p>
      <w:r>
        <w:t>"Predictive Models for Employee Turnover Using Machine Learning" demonstrates that random forest models can predict employee turnover with 85% accuracy using satisfaction and performance features. This directly supports our flight risk identification methodology.</w:t>
      </w:r>
    </w:p>
    <w:p>
      <w:r>
        <w:t>"Intervention Programs for High-Performer Retention in Technology Firms" shows that targeted career development programs can reduce high-performer attrition by 23%, providing a strong evidence base for our recommended interventions.</w:t>
      </w:r>
    </w:p>
    <w:p>
      <w:r>
        <w:t>"The Role of Job Satisfaction in Voluntary Turnover: A Meta-Analysis" confirms that job satisfaction is the strongest single predictor of voluntary turnover, stronger even than compensation, validating our emphasis on satisfaction-based risk scoring.</w:t>
      </w:r>
    </w:p>
    <w:p>
      <w:pPr>
        <w:pStyle w:val="Heading1"/>
      </w:pPr>
      <w:r>
        <w:t>Recommendations</w:t>
      </w:r>
    </w:p>
    <w:p>
      <w:r>
        <w:t>Based on the combined analysis of internal data and academic research, we recommend the following department-specific strategies:</w:t>
      </w:r>
    </w:p>
    <w:p>
      <w:r>
        <w:t>Finance (High Priority, 8.37% flight risk): Compensation review and flexible work arrangement expansion. Estimated cost: $200,000.</w:t>
      </w:r>
    </w:p>
    <w:p>
      <w:r>
        <w:t>HR (High Priority, 8.39% flight risk): Internal mobility program and role enrichment initiative. Estimated cost: $180,000.</w:t>
      </w:r>
    </w:p>
    <w:p>
      <w:r>
        <w:t>Sales (Medium Priority, 8.24% flight risk): Commission structure revision and mentorship program. Estimated cost: $190,000.</w:t>
      </w:r>
    </w:p>
    <w:p>
      <w:r>
        <w:t>R&amp;D (Medium Priority, 8.13% flight risk): Innovation time allocation and research sabbatical program. Estimated cost: $175,000.</w:t>
      </w:r>
    </w:p>
    <w:p>
      <w:r>
        <w:t>Engineering (Medium Priority, 7.98% flight risk): Career development and technical leadership track program. Estimated cost: $150,000.</w:t>
      </w:r>
    </w:p>
    <w:p>
      <w:r>
        <w:t>Operations (Medium Priority, 7.92% flight risk): Work-life balance improvement and process automation to reduce burnout. Estimated cost: $160,000.</w:t>
      </w:r>
    </w:p>
    <w:p>
      <w:r>
        <w:t>Support (Low Priority, 7.41% flight risk): Skills training program and career pathway development. Estimated cost: $120,000.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