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 Effectiveness Report</w:t>
      </w:r>
    </w:p>
    <w:p>
      <w:pPr>
        <w:pStyle w:val="Heading1"/>
      </w:pPr>
      <w:r>
        <w:t>Executive Summary</w:t>
      </w:r>
    </w:p>
    <w:p>
      <w:r>
        <w:t>This report analyzes the effectiveness of Data-Driven Design training programs delivered to Engineering and R&amp;D departments. The analysis cross-references course completion data with employee performance metrics to assess training impact and ROI.</w:t>
      </w:r>
    </w:p>
    <w:p>
      <w:pPr>
        <w:pStyle w:val="Heading1"/>
      </w:pPr>
      <w:r>
        <w:t>Methodology</w:t>
      </w:r>
    </w:p>
    <w:p>
      <w:r>
        <w:t>The analysis cross-references course completion data from the learning management system with employee performance metrics from the HR data warehouse, supplemented by participant feedback surveys. Course 9 (Data-Driven Design, Fall 2013) maps to the Engineering department, and Course 10 (Data-Driven Design, Fall 2014) maps to the R&amp;D department.</w:t>
      </w:r>
    </w:p>
    <w:p>
      <w:pPr>
        <w:pStyle w:val="Heading1"/>
      </w:pPr>
      <w:r>
        <w:t>Performance Impact Analysis</w:t>
      </w:r>
    </w:p>
    <w:p>
      <w:pPr>
        <w:pStyle w:val="Heading2"/>
      </w:pPr>
      <w:r>
        <w:t>Engineering Department</w:t>
      </w:r>
    </w:p>
    <w:p>
      <w:r>
        <w:t>Average assignment score (Course 9): 69.59. Enrolled students: 1938. Average employee performance rating: 3.21. Performance improvement over 3.00 baseline: 0.21 rating points.</w:t>
      </w:r>
    </w:p>
    <w:p>
      <w:pPr>
        <w:pStyle w:val="Heading2"/>
      </w:pPr>
      <w:r>
        <w:t>R&amp;D Department</w:t>
      </w:r>
    </w:p>
    <w:p>
      <w:r>
        <w:t>Average assignment score (Course 10): 71.53. Enrolled students: 1803. Average employee performance rating: 3.20. Performance improvement over 2.95 baseline: 0.25 rating points.</w:t>
      </w:r>
    </w:p>
    <w:p>
      <w:pPr>
        <w:pStyle w:val="Heading1"/>
      </w:pPr>
      <w:r>
        <w:t>Survey Findings</w:t>
      </w:r>
    </w:p>
    <w:p>
      <w:r>
        <w:t>Average satisfaction rating: 3.87 out of 5. Recommendation rate: 73.3% of respondents would recommend the training. Most preferred training format: Hybrid.</w:t>
      </w:r>
    </w:p>
    <w:p>
      <w:pPr>
        <w:pStyle w:val="Heading1"/>
      </w:pPr>
      <w:r>
        <w:t>ROI Estimation</w:t>
      </w:r>
    </w:p>
    <w:p>
      <w:r>
        <w:t>Based on the performance improvements observed and the training completion rates, the estimated return on investment is calculated as (average performance improvement 0.23 / 0.25) * 100 = 92.0%.</w:t>
      </w:r>
    </w:p>
    <w:p>
      <w:pPr>
        <w:pStyle w:val="Heading1"/>
      </w:pPr>
      <w:r>
        <w:t>Recommendations</w:t>
      </w:r>
    </w:p>
    <w:p>
      <w:r>
        <w:t>The average performance improvement is 0.23 rating points, meeting the 0.15 threshold. It is recommended to expand the program to additional departments such as Sales and Finance.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