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Order Reconciliation Audit Report</w:t>
      </w:r>
    </w:p>
    <w:p>
      <w:pPr>
        <w:pStyle w:val="Heading1"/>
      </w:pPr>
      <w:r>
        <w:t>Data Warehouse Summary</w:t>
      </w:r>
    </w:p>
    <w:p>
      <w:r>
        <w:t>The data warehouse contains a total of 20,000 orders with a combined revenue of $3,048,998.33. Order breakdown by status: Delivered (14,033 orders, $2,177,149.66), Shipped (3,001 orders, $438,250.84), Processing (2,050 orders, $295,638.10), and Cancelled (916 orders, $137,959.73). The average order value across all orders is approximately $152.45.</w:t>
      </w:r>
    </w:p>
    <w:p>
      <w:pPr>
        <w:pStyle w:val="Heading1"/>
      </w:pPr>
      <w:r>
        <w:t>Online Store Summary</w:t>
      </w:r>
    </w:p>
    <w:p>
      <w:r>
        <w:t>The WooCommerce online store currently has 82 products in its catalog, 150 total orders, and 50 registered customers. The store operates at a significantly smaller scale compared to the data warehouse, which captures transactions across all channels.</w:t>
      </w:r>
    </w:p>
    <w:p>
      <w:pPr>
        <w:pStyle w:val="Heading1"/>
      </w:pPr>
      <w:r>
        <w:t>Ship Mode Breakdown</w:t>
      </w:r>
    </w:p>
    <w:p>
      <w:r>
        <w:t>Revenue distribution across shipping methods shows a relatively even split: Standard shipping leads with $787,250.19 (4,990 orders), followed by Express at $778,103.43 (5,035 orders), Next Day at $762,248.82 (5,028 orders), and Economy at $721,395.89 (4,947 orders).</w:t>
      </w:r>
    </w:p>
    <w:p>
      <w:pPr>
        <w:pStyle w:val="Heading1"/>
      </w:pPr>
      <w:r>
        <w:t>Reconciliation Findings</w:t>
      </w:r>
    </w:p>
    <w:p>
      <w:r>
        <w:t>The audit reveals significant volume differences between the two systems. The data warehouse contains 20,000 orders while the online store shows only 150, indicating that the data warehouse captures orders from multiple channels beyond e-commerce. The difference of 19,850 orders represents transactions from retail, wholesale, and partner channels. Recommendation: Implement a unified order tracking system that tags orders by channel source to enable more granular reconciliation in future audits.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