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Commodity Price Impact Analysis</w:t>
      </w:r>
    </w:p>
    <w:p>
      <w:pPr>
        <w:pStyle w:val="Heading1"/>
      </w:pPr>
      <w:r>
        <w:t>Executive Summary</w:t>
      </w:r>
    </w:p>
    <w:p>
      <w:r>
        <w:t>This report analyzes the impact of commodity price movements, particularly gold futures, on our product pricing strategy across six product categories. Gold prices have shown an upward trend over the past 20 trading days, with the current price of $5,093.30 sitting near the 20-day moving average. The analysis identifies Watches as the most sensitive category to gold price movements with 40% commodity sensitivity, requiring immediate pricing review consideration.</w:t>
      </w:r>
    </w:p>
    <w:p>
      <w:pPr>
        <w:pStyle w:val="Heading1"/>
      </w:pPr>
      <w:r>
        <w:t>Category Exposure Analysis</w:t>
      </w:r>
    </w:p>
    <w:p>
      <w:r>
        <w:t>Our product catalog spans six categories with varying levels of commodity price sensitivity. Watches represent the highest exposure at 40% sensitivity due to significant gold content in watch components. Electronics follow at 15%, reflecting the use of precious metals in electronic components. Audio and Cameras share 10% sensitivity, while Home Appliances (8%) and TV &amp; Home Theater (5%) have lower exposure.</w:t>
      </w:r>
    </w:p>
    <w:p>
      <w:r>
        <w:t>The Watches category, with an average price of $60.69 and 6 products, faces an estimated material cost impact of $24.28 per unit from commodity price movements. The Electronics category, despite having 30 products with an average price of $61.13, has a more modest estimated impact of $9.17 per unit due to its lower 15% sensitivity.</w:t>
      </w:r>
    </w:p>
    <w:p>
      <w:pPr>
        <w:pStyle w:val="Heading1"/>
      </w:pPr>
      <w:r>
        <w:t>Gold Price Trend Analysis</w:t>
      </w:r>
    </w:p>
    <w:p>
      <w:r>
        <w:t>Over the 20-day analysis period (February 5 to March 5, 2026), gold futures (GC=F) have demonstrated overall upward momentum. The price range spans from $4,861.40 to $5,294.40 with the 20-day moving average at approximately $5,071.93. The most recent closing price of $5,093.30 is slightly above the moving average, indicating a neutral to mildly bullish trend.</w:t>
      </w:r>
    </w:p>
    <w:p>
      <w:pPr>
        <w:pStyle w:val="Heading1"/>
      </w:pPr>
      <w:r>
        <w:t>Recommendations</w:t>
      </w:r>
    </w:p>
    <w:p>
      <w:r>
        <w:t>Based on the analysis, we recommend the following pricing actions:</w:t>
      </w:r>
    </w:p>
    <w:p>
      <w:r>
        <w:t>1. Watches: Review Pricing immediately. With 40% commodity sensitivity and gold prices trending upward, margins on watch products are at risk. Consider implementing a 3-5% price increase to protect margins.</w:t>
      </w:r>
    </w:p>
    <w:p>
      <w:r>
        <w:t>2. Electronics: Monitor closely. At 15% sensitivity, the impact is moderate but the category has 30 products that collectively represent significant revenue exposure.</w:t>
      </w:r>
    </w:p>
    <w:p>
      <w:r>
        <w:t>3. Audio, Cameras, Home Appliances, TV &amp; Home Theater: Continue monitoring. These categories have lower sensitivity and do not require immediate pricing action unless gold prices increase by more than 10% from current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