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Q4 Compensation Review Memo</w:t>
      </w:r>
    </w:p>
    <w:p>
      <w:pPr>
        <w:pStyle w:val="Heading2"/>
      </w:pPr>
      <w:r>
        <w:t>Background</w:t>
      </w:r>
    </w:p>
    <w:p>
      <w:r>
        <w:t>This memo presents the results of the Q4 market-adjusted sales compensation review. The compensation committee requested an analysis of whether current sales team bonuses should be adjusted based on external market conditions before finalizing the Q4 bonus cycle. The review compares internal sales performance across five customer regions with external market benchmarks including the Dow Jones Industrial Average, Amazon (AMZN), and ExxonMobil (XOM).</w:t>
      </w:r>
    </w:p>
    <w:p>
      <w:pPr>
        <w:pStyle w:val="Heading2"/>
      </w:pPr>
      <w:r>
        <w:t>Methodology</w:t>
      </w:r>
    </w:p>
    <w:p>
      <w:r>
        <w:t>Bonuses are calculated based on regional revenue performance. Each of the five customer regions (Asia Pacific, Europe, Latin America, Middle East, North America) is assigned a bonus tier based on total revenue: Bronze (under $550K, 5%), Silver ($550K-$620K, 8%), Gold ($620K-$650K, 10%), and Platinum (over $650K, 12%). Sales department employees are assigned to regions in round-robin alphabetical order. Each employee's bonus equals their salary multiplied by the region's bonus percentage. A market adjustment factor is then applied based on the Dow Jones year-over-year performance: factor of 0.9 if DJI is up more than 10%, 1.1 if down more than 10%, otherwise 1.0. If the total adjusted pool exceeds the $30,000,000 budget cap, all bonuses are proportionally scaled down.</w:t>
      </w:r>
    </w:p>
    <w:p>
      <w:pPr>
        <w:pStyle w:val="Heading2"/>
      </w:pPr>
      <w:r>
        <w:t>Market Analysis</w:t>
      </w:r>
    </w:p>
    <w:p>
      <w:r>
        <w:t>The Dow Jones Industrial Average (^DJI) closed at approximately $47,955, compared to approximately $42,802 one year ago, representing a year-over-year increase of approximately 12.0%. This exceeds the 10% threshold, resulting in a market adjustment factor of 0.9 (10% reduction in bonuses). Amazon (AMZN) showed a year-over-year change of approximately 9.9%, closing near $218.94. ExxonMobil (XOM) showed strong performance with a year-over-year increase of approximately 43.0%, closing near $150.76.</w:t>
      </w:r>
    </w:p>
    <w:p>
      <w:pPr>
        <w:pStyle w:val="Heading2"/>
      </w:pPr>
      <w:r>
        <w:t>Regional Performance Summary</w:t>
      </w:r>
    </w:p>
    <w:p>
      <w:r>
        <w:t>Europe led with $648,798.47 in total revenue from 4,100 orders (Gold tier, 10% bonus). Asia Pacific generated $642,644.81 from 4,198 orders (Gold tier, 10% bonus). North America produced $606,318.35 from 4,133 orders (Silver tier, 8% bonus). Middle East contributed $602,107.55 from 3,872 orders (Silver tier, 8% bonus). Latin America generated $549,129.15 from 3,697 orders (Bronze tier, 5% bonus).</w:t>
      </w:r>
    </w:p>
    <w:p>
      <w:pPr>
        <w:pStyle w:val="Heading2"/>
      </w:pPr>
      <w:r>
        <w:t>Budget Impact</w:t>
      </w:r>
    </w:p>
    <w:p>
      <w:r>
        <w:t>The total current bonus pool before market adjustment is approximately $34,888,710. After applying the 0.9 market adjustment factor, the adjusted pool is approximately $31,399,839. This exceeds the approved budget cap of $30,000,000, requiring a proportional scale-down factor of approximately 0.9554 to bring the total within budget. The final total bonus pool after both the market adjustment and budget cap scaling is exactly $30,000,000.</w:t>
      </w:r>
    </w:p>
    <w:p>
      <w:pPr>
        <w:pStyle w:val="Heading2"/>
      </w:pPr>
      <w:r>
        <w:t>Recommendations</w:t>
      </w:r>
    </w:p>
    <w:p>
      <w:r>
        <w:t>1. Approve the market-adjusted bonus structure with the 0.9 adjustment factor and budget cap scaling. The strong market performance supports a modest reduction in discretionary compensation. 2. Consider revising the bonus tier thresholds for next quarter to better differentiate regional performance, as three of five regions currently cluster in the Silver/Gold range. 3. Review the budget cap allocation to determine if the $30M cap remains appropriate given the growing sales team size and inflationary pressures on base salaries.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