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Commodity Impact and Pricing Strategy Memo</w:t>
      </w:r>
    </w:p>
    <w:p>
      <w:pPr>
        <w:pStyle w:val="Heading1"/>
      </w:pPr>
      <w:r>
        <w:t>Market Overview</w:t>
      </w:r>
    </w:p>
    <w:p>
      <w:r>
        <w:t>Gold futures (GC=F) have experienced a dramatic increase of approximately 138.7% over the two-year analysis period, with the average closing price at $3,163.01 and volatility (standard deviation) of $796.12. This significant rise signals substantial commodity inflation pressure that is likely impacting input costs across the supply chain.</w:t>
      </w:r>
    </w:p>
    <w:p>
      <w:r>
        <w:t>Amazon stock (AMZN), used as a proxy for consumer cyclical spending confidence, increased by approximately 26.2% over the same period, with an average price of $206.45 and volatility of $21.87. This moderate positive performance suggests that consumer demand remains relatively healthy despite inflationary pressures.</w:t>
      </w:r>
    </w:p>
    <w:p>
      <w:pPr>
        <w:pStyle w:val="Heading1"/>
      </w:pPr>
      <w:r>
        <w:t>Product Margin Analysis</w:t>
      </w:r>
    </w:p>
    <w:p>
      <w:r>
        <w:t>Product margins across all categories are currently estimated at 40%, based on costs representing 60% of retail prices. The product catalog spans categories including Audio, Cameras, Electronics, Headphones, Speakers, TV, and Other items. Total sales volume is strongest in the Electronics category, followed by Audio and TV segments. The current margin structure has been adequate under normal conditions but requires review given the significant commodity price movements observed.</w:t>
      </w:r>
    </w:p>
    <w:p>
      <w:pPr>
        <w:pStyle w:val="Heading1"/>
      </w:pPr>
      <w:r>
        <w:t>Strategic Recommendations</w:t>
      </w:r>
    </w:p>
    <w:p>
      <w:r>
        <w:t>Given that gold prices have risen over 138% (well above the 50% threshold for significant cost pressure), we recommend reducing the target margin to 35% across all categories to account for anticipated cost increases. This proactive adjustment allows the company to absorb moderate cost increases while maintaining competitive pricing. Retail prices should be monitored closely and adjusted upward if supplier cost increases exceed the 5% buffer created by the margin reduction. The positive AMZN performance suggests consumer demand can support modest price increases if needed.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