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Logistics</w:t>
      </w:r>
    </w:p>
    <w:p>
      <w:r>
        <w:t>Travel Date: March 10, 2026. Train G1 departs Beijing South at 09:00 and arrives at 13:28 (duration approximately 268 minutes). First-class price: 553 CNY, business-class: 1748.5 CNY.</w:t>
      </w:r>
    </w:p>
    <w:p>
      <w:pPr>
        <w:pStyle w:val="Heading1"/>
      </w:pPr>
      <w:r>
        <w:t>Customer Visit Priority List</w:t>
      </w:r>
    </w:p>
    <w:p>
      <w:r>
        <w:t>1. Ethan Brown - 15 orders, total 7,088.92 CNY. 2. Noah Garcia - 8 orders, total 6,133.40 CNY. 3. Isabella Smith - 9 orders, total 5,367.22 CNY. 4. Harper Jones - 11 orders, total 5,214.32 CNY. 5. Mason Garcia - 9 orders, total 4,946.20 CNY.</w:t>
      </w:r>
    </w:p>
    <w:p>
      <w:pPr>
        <w:pStyle w:val="Heading1"/>
      </w:pPr>
      <w:r>
        <w:t>Meeting Objectives</w:t>
      </w:r>
    </w:p>
    <w:p>
      <w:r>
        <w:t>Strengthen relationships with top North America customers. Present new product offerings. Gather renewal commitments for the upcoming fiscal quarter.</w:t>
      </w:r>
    </w:p>
    <w:p>
      <w:pPr>
        <w:pStyle w:val="Heading1"/>
      </w:pPr>
      <w:r>
        <w:t>Follow-up Actions</w:t>
      </w:r>
    </w:p>
    <w:p>
      <w:r>
        <w:t>Send meeting summaries within 48 hours of each visit. Update CRM records with new contact information and opportunities. Schedule follow-on calls for Q2 planning within two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